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E8A6" w14:textId="4C1B3288" w:rsidR="0029299F" w:rsidRPr="00DF5050" w:rsidRDefault="00DF5050" w:rsidP="00DF5050">
      <w:pPr>
        <w:pStyle w:val="Header"/>
        <w:jc w:val="center"/>
        <w:rPr>
          <w:color w:val="595959" w:themeColor="text1" w:themeTint="A6"/>
          <w:sz w:val="28"/>
          <w:szCs w:val="28"/>
        </w:rPr>
      </w:pPr>
      <w:r w:rsidRPr="00DF5050">
        <w:rPr>
          <w:b/>
          <w:bCs/>
          <w:color w:val="595959" w:themeColor="text1" w:themeTint="A6"/>
          <w:sz w:val="28"/>
          <w:szCs w:val="28"/>
        </w:rPr>
        <w:t xml:space="preserve">Growth With Value Investment Fund – </w:t>
      </w:r>
      <w:r w:rsidR="001E64A4">
        <w:rPr>
          <w:b/>
          <w:bCs/>
          <w:color w:val="595959" w:themeColor="text1" w:themeTint="A6"/>
          <w:sz w:val="28"/>
          <w:szCs w:val="28"/>
        </w:rPr>
        <w:t>3</w:t>
      </w:r>
      <w:r w:rsidR="008C7D9F">
        <w:rPr>
          <w:b/>
          <w:bCs/>
          <w:color w:val="595959" w:themeColor="text1" w:themeTint="A6"/>
          <w:sz w:val="28"/>
          <w:szCs w:val="28"/>
        </w:rPr>
        <w:t>1</w:t>
      </w:r>
      <w:r w:rsidR="008160F6">
        <w:rPr>
          <w:b/>
          <w:bCs/>
          <w:color w:val="595959" w:themeColor="text1" w:themeTint="A6"/>
          <w:sz w:val="28"/>
          <w:szCs w:val="28"/>
        </w:rPr>
        <w:t xml:space="preserve"> </w:t>
      </w:r>
      <w:r w:rsidR="008C7D9F">
        <w:rPr>
          <w:b/>
          <w:bCs/>
          <w:color w:val="595959" w:themeColor="text1" w:themeTint="A6"/>
          <w:sz w:val="28"/>
          <w:szCs w:val="28"/>
        </w:rPr>
        <w:t>March</w:t>
      </w:r>
      <w:r w:rsidRPr="00DF5050">
        <w:rPr>
          <w:b/>
          <w:bCs/>
          <w:color w:val="595959" w:themeColor="text1" w:themeTint="A6"/>
          <w:sz w:val="28"/>
          <w:szCs w:val="28"/>
        </w:rPr>
        <w:t xml:space="preserve"> 20</w:t>
      </w:r>
      <w:r w:rsidR="00F50D03">
        <w:rPr>
          <w:b/>
          <w:bCs/>
          <w:color w:val="595959" w:themeColor="text1" w:themeTint="A6"/>
          <w:sz w:val="28"/>
          <w:szCs w:val="28"/>
        </w:rPr>
        <w:t>2</w:t>
      </w:r>
      <w:r w:rsidR="008C7D9F">
        <w:rPr>
          <w:b/>
          <w:bCs/>
          <w:color w:val="595959" w:themeColor="text1" w:themeTint="A6"/>
          <w:sz w:val="28"/>
          <w:szCs w:val="28"/>
        </w:rPr>
        <w:t>3</w:t>
      </w:r>
      <w:r w:rsidRPr="00DF5050">
        <w:rPr>
          <w:b/>
          <w:bCs/>
          <w:color w:val="595959" w:themeColor="text1" w:themeTint="A6"/>
          <w:sz w:val="28"/>
          <w:szCs w:val="28"/>
        </w:rPr>
        <w:t xml:space="preserve"> </w:t>
      </w:r>
      <w:r w:rsidR="005C3189">
        <w:rPr>
          <w:b/>
          <w:bCs/>
          <w:color w:val="595959" w:themeColor="text1" w:themeTint="A6"/>
          <w:sz w:val="28"/>
          <w:szCs w:val="28"/>
        </w:rPr>
        <w:t>Quarterly</w:t>
      </w:r>
      <w:r w:rsidRPr="00DF5050">
        <w:rPr>
          <w:b/>
          <w:bCs/>
          <w:color w:val="595959" w:themeColor="text1" w:themeTint="A6"/>
          <w:sz w:val="28"/>
          <w:szCs w:val="28"/>
        </w:rPr>
        <w:t xml:space="preserve"> Report</w:t>
      </w:r>
    </w:p>
    <w:p w14:paraId="654F2A89" w14:textId="431C3B93" w:rsidR="00DF5050" w:rsidRDefault="00DF5050" w:rsidP="0029299F">
      <w:pPr>
        <w:pStyle w:val="Header"/>
        <w:rPr>
          <w:sz w:val="16"/>
          <w:szCs w:val="16"/>
        </w:rPr>
      </w:pPr>
    </w:p>
    <w:p w14:paraId="11E917B2" w14:textId="77777777" w:rsidR="00904054" w:rsidRDefault="00904054" w:rsidP="00904054">
      <w:pPr>
        <w:tabs>
          <w:tab w:val="left" w:pos="1014"/>
        </w:tabs>
        <w:jc w:val="both"/>
      </w:pPr>
      <w:r>
        <w:t xml:space="preserve">The Growth With Value Investment Fund focuses mainly on investing in Australian listed businesses. Our concentrated portfolio will consist primarily of businesses which are able to generate strong Returns on Capital, provide solid Profit Margins, carry little or no Debt and present long-term growth prospects. We also apply an ethical perspective when investing in a business. We look for a business which respects our environment, including both flora and fauna, and cares for its people and customers. We also avoid businesses which produce or provide a service that is considered an addictive substance.  Our investment decisions are based on fundamental analysis with a long-term mind set, paying little regard to short term fluctuations in the market. We choose to invest only when the business presents us with an opportunity to buy below its Intrinsic Value. You can expect, over the long term, this portfolio to outperform our benchmark, the ASX 200 Accumulation Index (XJOA). </w:t>
      </w:r>
    </w:p>
    <w:p w14:paraId="6ED71115" w14:textId="6B3B56E8" w:rsidR="0038098E" w:rsidRDefault="0038098E" w:rsidP="00DF5050">
      <w:pPr>
        <w:tabs>
          <w:tab w:val="left" w:pos="1014"/>
        </w:tabs>
        <w:jc w:val="both"/>
        <w:rPr>
          <w:b/>
          <w:bCs/>
          <w:u w:val="single"/>
        </w:rPr>
      </w:pPr>
      <w:r>
        <w:rPr>
          <w:b/>
          <w:bCs/>
          <w:u w:val="single"/>
        </w:rPr>
        <w:t>Fund Performance Since Inception (May 2018):</w:t>
      </w:r>
    </w:p>
    <w:tbl>
      <w:tblPr>
        <w:tblStyle w:val="TableGrid"/>
        <w:tblW w:w="0" w:type="auto"/>
        <w:tblLook w:val="04A0" w:firstRow="1" w:lastRow="0" w:firstColumn="1" w:lastColumn="0" w:noHBand="0" w:noVBand="1"/>
      </w:tblPr>
      <w:tblGrid>
        <w:gridCol w:w="3539"/>
        <w:gridCol w:w="969"/>
        <w:gridCol w:w="3567"/>
        <w:gridCol w:w="941"/>
      </w:tblGrid>
      <w:tr w:rsidR="0038098E" w14:paraId="65933C96" w14:textId="77777777" w:rsidTr="0038098E">
        <w:tc>
          <w:tcPr>
            <w:tcW w:w="9016" w:type="dxa"/>
            <w:gridSpan w:val="4"/>
            <w:shd w:val="clear" w:color="auto" w:fill="538135" w:themeFill="accent6" w:themeFillShade="BF"/>
          </w:tcPr>
          <w:p w14:paraId="0AD341E2" w14:textId="431578D0" w:rsidR="0038098E" w:rsidRPr="0038098E" w:rsidRDefault="0038098E" w:rsidP="0038098E">
            <w:pPr>
              <w:tabs>
                <w:tab w:val="left" w:pos="1014"/>
              </w:tabs>
              <w:jc w:val="center"/>
              <w:rPr>
                <w:b/>
                <w:bCs/>
                <w:color w:val="FFFFFF" w:themeColor="background1"/>
              </w:rPr>
            </w:pPr>
            <w:r w:rsidRPr="0038098E">
              <w:rPr>
                <w:b/>
                <w:bCs/>
                <w:color w:val="FFFFFF" w:themeColor="background1"/>
              </w:rPr>
              <w:t>GWV Investment Fund versus ASX 200 Accumulation Index – Total and Annualised Returns</w:t>
            </w:r>
          </w:p>
        </w:tc>
      </w:tr>
      <w:tr w:rsidR="0038098E" w14:paraId="1C208366" w14:textId="77777777" w:rsidTr="0038098E">
        <w:tc>
          <w:tcPr>
            <w:tcW w:w="4508" w:type="dxa"/>
            <w:gridSpan w:val="2"/>
            <w:shd w:val="clear" w:color="auto" w:fill="A8D08D" w:themeFill="accent6" w:themeFillTint="99"/>
          </w:tcPr>
          <w:p w14:paraId="71A2BCA1" w14:textId="1A73A4AF" w:rsidR="0038098E" w:rsidRPr="0038098E" w:rsidRDefault="0038098E" w:rsidP="0038098E">
            <w:pPr>
              <w:tabs>
                <w:tab w:val="left" w:pos="1014"/>
              </w:tabs>
              <w:jc w:val="center"/>
              <w:rPr>
                <w:b/>
                <w:bCs/>
              </w:rPr>
            </w:pPr>
            <w:r w:rsidRPr="0038098E">
              <w:rPr>
                <w:b/>
                <w:bCs/>
              </w:rPr>
              <w:t>Annualised Return</w:t>
            </w:r>
          </w:p>
        </w:tc>
        <w:tc>
          <w:tcPr>
            <w:tcW w:w="4508" w:type="dxa"/>
            <w:gridSpan w:val="2"/>
            <w:shd w:val="clear" w:color="auto" w:fill="A8D08D" w:themeFill="accent6" w:themeFillTint="99"/>
          </w:tcPr>
          <w:p w14:paraId="1938339B" w14:textId="4CC0E379" w:rsidR="0038098E" w:rsidRPr="0038098E" w:rsidRDefault="0038098E" w:rsidP="0038098E">
            <w:pPr>
              <w:tabs>
                <w:tab w:val="left" w:pos="1014"/>
              </w:tabs>
              <w:jc w:val="center"/>
              <w:rPr>
                <w:b/>
                <w:bCs/>
              </w:rPr>
            </w:pPr>
            <w:r w:rsidRPr="0038098E">
              <w:rPr>
                <w:b/>
                <w:bCs/>
              </w:rPr>
              <w:t>Total Return</w:t>
            </w:r>
          </w:p>
        </w:tc>
      </w:tr>
      <w:tr w:rsidR="0038098E" w14:paraId="4CB185CA" w14:textId="77777777" w:rsidTr="0038098E">
        <w:tc>
          <w:tcPr>
            <w:tcW w:w="3539" w:type="dxa"/>
          </w:tcPr>
          <w:p w14:paraId="265D9B7A" w14:textId="1533DCEA" w:rsidR="0038098E" w:rsidRPr="009B08E1" w:rsidRDefault="0038098E" w:rsidP="0038098E">
            <w:pPr>
              <w:tabs>
                <w:tab w:val="left" w:pos="1014"/>
              </w:tabs>
              <w:jc w:val="both"/>
              <w:rPr>
                <w:b/>
                <w:bCs/>
                <w:sz w:val="18"/>
                <w:szCs w:val="18"/>
              </w:rPr>
            </w:pPr>
            <w:r w:rsidRPr="009B08E1">
              <w:rPr>
                <w:b/>
                <w:bCs/>
                <w:sz w:val="18"/>
                <w:szCs w:val="18"/>
              </w:rPr>
              <w:t>GWV Fund Annualised Return</w:t>
            </w:r>
          </w:p>
        </w:tc>
        <w:tc>
          <w:tcPr>
            <w:tcW w:w="969" w:type="dxa"/>
          </w:tcPr>
          <w:p w14:paraId="70224C5E" w14:textId="0AC73B18" w:rsidR="0038098E" w:rsidRPr="0038098E" w:rsidRDefault="008C7D9F" w:rsidP="00867B89">
            <w:pPr>
              <w:tabs>
                <w:tab w:val="left" w:pos="1014"/>
              </w:tabs>
              <w:jc w:val="right"/>
              <w:rPr>
                <w:sz w:val="18"/>
                <w:szCs w:val="18"/>
              </w:rPr>
            </w:pPr>
            <w:r>
              <w:rPr>
                <w:sz w:val="18"/>
                <w:szCs w:val="18"/>
              </w:rPr>
              <w:t>20.</w:t>
            </w:r>
            <w:r w:rsidR="00BD0179">
              <w:rPr>
                <w:sz w:val="18"/>
                <w:szCs w:val="18"/>
              </w:rPr>
              <w:t>60</w:t>
            </w:r>
            <w:r w:rsidR="00365724">
              <w:rPr>
                <w:sz w:val="18"/>
                <w:szCs w:val="18"/>
              </w:rPr>
              <w:t xml:space="preserve"> </w:t>
            </w:r>
            <w:r w:rsidR="0038098E">
              <w:rPr>
                <w:sz w:val="18"/>
                <w:szCs w:val="18"/>
              </w:rPr>
              <w:t>%</w:t>
            </w:r>
          </w:p>
        </w:tc>
        <w:tc>
          <w:tcPr>
            <w:tcW w:w="3567" w:type="dxa"/>
          </w:tcPr>
          <w:p w14:paraId="6ED8A310" w14:textId="7998113B" w:rsidR="0038098E" w:rsidRPr="009B08E1" w:rsidRDefault="0038098E" w:rsidP="0038098E">
            <w:pPr>
              <w:tabs>
                <w:tab w:val="left" w:pos="1014"/>
              </w:tabs>
              <w:jc w:val="both"/>
              <w:rPr>
                <w:b/>
                <w:bCs/>
                <w:sz w:val="18"/>
                <w:szCs w:val="18"/>
              </w:rPr>
            </w:pPr>
            <w:r w:rsidRPr="009B08E1">
              <w:rPr>
                <w:b/>
                <w:bCs/>
                <w:sz w:val="18"/>
                <w:szCs w:val="18"/>
              </w:rPr>
              <w:t xml:space="preserve">GWV Fund </w:t>
            </w:r>
            <w:r w:rsidR="0010771C">
              <w:rPr>
                <w:b/>
                <w:bCs/>
                <w:sz w:val="18"/>
                <w:szCs w:val="18"/>
              </w:rPr>
              <w:t>Total</w:t>
            </w:r>
            <w:r w:rsidRPr="009B08E1">
              <w:rPr>
                <w:b/>
                <w:bCs/>
                <w:sz w:val="18"/>
                <w:szCs w:val="18"/>
              </w:rPr>
              <w:t xml:space="preserve"> Return</w:t>
            </w:r>
          </w:p>
        </w:tc>
        <w:tc>
          <w:tcPr>
            <w:tcW w:w="941" w:type="dxa"/>
          </w:tcPr>
          <w:p w14:paraId="07F492D4" w14:textId="21D1C068" w:rsidR="0038098E" w:rsidRDefault="00540E19" w:rsidP="00867B89">
            <w:pPr>
              <w:tabs>
                <w:tab w:val="left" w:pos="1014"/>
              </w:tabs>
              <w:jc w:val="right"/>
            </w:pPr>
            <w:r>
              <w:rPr>
                <w:sz w:val="18"/>
                <w:szCs w:val="18"/>
              </w:rPr>
              <w:t>1</w:t>
            </w:r>
            <w:r w:rsidR="00BD0179">
              <w:rPr>
                <w:sz w:val="18"/>
                <w:szCs w:val="18"/>
              </w:rPr>
              <w:t>89</w:t>
            </w:r>
            <w:r w:rsidR="008C7D9F">
              <w:rPr>
                <w:sz w:val="18"/>
                <w:szCs w:val="18"/>
              </w:rPr>
              <w:t>.</w:t>
            </w:r>
            <w:r w:rsidR="00BD0179">
              <w:rPr>
                <w:sz w:val="18"/>
                <w:szCs w:val="18"/>
              </w:rPr>
              <w:t>06</w:t>
            </w:r>
            <w:r w:rsidR="00365724">
              <w:rPr>
                <w:sz w:val="18"/>
                <w:szCs w:val="18"/>
              </w:rPr>
              <w:t xml:space="preserve"> </w:t>
            </w:r>
            <w:r w:rsidR="0038098E">
              <w:rPr>
                <w:sz w:val="18"/>
                <w:szCs w:val="18"/>
              </w:rPr>
              <w:t>%</w:t>
            </w:r>
          </w:p>
        </w:tc>
      </w:tr>
      <w:tr w:rsidR="0038098E" w14:paraId="5ABDCB89" w14:textId="77777777" w:rsidTr="0038098E">
        <w:tc>
          <w:tcPr>
            <w:tcW w:w="3539" w:type="dxa"/>
          </w:tcPr>
          <w:p w14:paraId="516667C1" w14:textId="2144996A" w:rsidR="0038098E" w:rsidRPr="009B08E1" w:rsidRDefault="0038098E" w:rsidP="0038098E">
            <w:pPr>
              <w:tabs>
                <w:tab w:val="left" w:pos="1014"/>
              </w:tabs>
              <w:jc w:val="both"/>
              <w:rPr>
                <w:b/>
                <w:bCs/>
                <w:sz w:val="18"/>
                <w:szCs w:val="18"/>
              </w:rPr>
            </w:pPr>
            <w:r w:rsidRPr="009B08E1">
              <w:rPr>
                <w:b/>
                <w:bCs/>
                <w:sz w:val="18"/>
                <w:szCs w:val="18"/>
              </w:rPr>
              <w:t>Benchmark Annualised Return (XJOA)</w:t>
            </w:r>
          </w:p>
        </w:tc>
        <w:tc>
          <w:tcPr>
            <w:tcW w:w="969" w:type="dxa"/>
          </w:tcPr>
          <w:p w14:paraId="60A73AFE" w14:textId="56366F8A" w:rsidR="0038098E" w:rsidRPr="0038098E" w:rsidRDefault="008C7D9F" w:rsidP="00867B89">
            <w:pPr>
              <w:tabs>
                <w:tab w:val="left" w:pos="1014"/>
              </w:tabs>
              <w:jc w:val="right"/>
              <w:rPr>
                <w:sz w:val="18"/>
                <w:szCs w:val="18"/>
              </w:rPr>
            </w:pPr>
            <w:r>
              <w:rPr>
                <w:sz w:val="18"/>
                <w:szCs w:val="18"/>
              </w:rPr>
              <w:t>8.</w:t>
            </w:r>
            <w:r w:rsidR="00BD0179">
              <w:rPr>
                <w:sz w:val="18"/>
                <w:szCs w:val="18"/>
              </w:rPr>
              <w:t>49</w:t>
            </w:r>
            <w:r w:rsidR="00365724">
              <w:rPr>
                <w:sz w:val="18"/>
                <w:szCs w:val="18"/>
              </w:rPr>
              <w:t xml:space="preserve"> </w:t>
            </w:r>
            <w:r w:rsidR="0038098E">
              <w:rPr>
                <w:sz w:val="18"/>
                <w:szCs w:val="18"/>
              </w:rPr>
              <w:t>%</w:t>
            </w:r>
          </w:p>
        </w:tc>
        <w:tc>
          <w:tcPr>
            <w:tcW w:w="3567" w:type="dxa"/>
          </w:tcPr>
          <w:p w14:paraId="0A8F00FD" w14:textId="7E8A4234" w:rsidR="0038098E" w:rsidRPr="009B08E1" w:rsidRDefault="0038098E" w:rsidP="0038098E">
            <w:pPr>
              <w:tabs>
                <w:tab w:val="left" w:pos="1014"/>
              </w:tabs>
              <w:jc w:val="both"/>
              <w:rPr>
                <w:b/>
                <w:bCs/>
                <w:sz w:val="18"/>
                <w:szCs w:val="18"/>
              </w:rPr>
            </w:pPr>
            <w:r w:rsidRPr="009B08E1">
              <w:rPr>
                <w:b/>
                <w:bCs/>
                <w:sz w:val="18"/>
                <w:szCs w:val="18"/>
              </w:rPr>
              <w:t xml:space="preserve">Benchmark </w:t>
            </w:r>
            <w:r w:rsidR="0010771C">
              <w:rPr>
                <w:b/>
                <w:bCs/>
                <w:sz w:val="18"/>
                <w:szCs w:val="18"/>
              </w:rPr>
              <w:t>Total</w:t>
            </w:r>
            <w:r w:rsidRPr="009B08E1">
              <w:rPr>
                <w:b/>
                <w:bCs/>
                <w:sz w:val="18"/>
                <w:szCs w:val="18"/>
              </w:rPr>
              <w:t xml:space="preserve"> Return (XJOA)</w:t>
            </w:r>
          </w:p>
        </w:tc>
        <w:tc>
          <w:tcPr>
            <w:tcW w:w="941" w:type="dxa"/>
          </w:tcPr>
          <w:p w14:paraId="2B258DCD" w14:textId="2CF70FF7" w:rsidR="0038098E" w:rsidRDefault="00BD0179" w:rsidP="00867B89">
            <w:pPr>
              <w:tabs>
                <w:tab w:val="left" w:pos="1014"/>
              </w:tabs>
              <w:jc w:val="right"/>
            </w:pPr>
            <w:r>
              <w:rPr>
                <w:sz w:val="18"/>
                <w:szCs w:val="18"/>
              </w:rPr>
              <w:t>58</w:t>
            </w:r>
            <w:r w:rsidR="008C7D9F">
              <w:rPr>
                <w:sz w:val="18"/>
                <w:szCs w:val="18"/>
              </w:rPr>
              <w:t>.</w:t>
            </w:r>
            <w:r>
              <w:rPr>
                <w:sz w:val="18"/>
                <w:szCs w:val="18"/>
              </w:rPr>
              <w:t>66</w:t>
            </w:r>
            <w:r w:rsidR="00365724">
              <w:rPr>
                <w:sz w:val="18"/>
                <w:szCs w:val="18"/>
              </w:rPr>
              <w:t xml:space="preserve"> </w:t>
            </w:r>
            <w:r w:rsidR="0038098E">
              <w:rPr>
                <w:sz w:val="18"/>
                <w:szCs w:val="18"/>
              </w:rPr>
              <w:t>%</w:t>
            </w:r>
          </w:p>
        </w:tc>
      </w:tr>
      <w:tr w:rsidR="0038098E" w14:paraId="19F2B6CA" w14:textId="77777777" w:rsidTr="0038098E">
        <w:tc>
          <w:tcPr>
            <w:tcW w:w="3539" w:type="dxa"/>
          </w:tcPr>
          <w:p w14:paraId="3E362D59" w14:textId="14D829E3" w:rsidR="0038098E" w:rsidRPr="009B08E1" w:rsidRDefault="0038098E" w:rsidP="0038098E">
            <w:pPr>
              <w:tabs>
                <w:tab w:val="left" w:pos="1014"/>
              </w:tabs>
              <w:jc w:val="both"/>
              <w:rPr>
                <w:b/>
                <w:bCs/>
                <w:sz w:val="18"/>
                <w:szCs w:val="18"/>
              </w:rPr>
            </w:pPr>
            <w:r w:rsidRPr="009B08E1">
              <w:rPr>
                <w:b/>
                <w:bCs/>
                <w:sz w:val="18"/>
                <w:szCs w:val="18"/>
              </w:rPr>
              <w:t>Outperformance / (Underperformance)</w:t>
            </w:r>
          </w:p>
        </w:tc>
        <w:tc>
          <w:tcPr>
            <w:tcW w:w="969" w:type="dxa"/>
          </w:tcPr>
          <w:p w14:paraId="3F767C5C" w14:textId="37A2393E" w:rsidR="0038098E" w:rsidRPr="0038098E" w:rsidRDefault="00E31580" w:rsidP="00867B89">
            <w:pPr>
              <w:tabs>
                <w:tab w:val="left" w:pos="1014"/>
              </w:tabs>
              <w:jc w:val="right"/>
              <w:rPr>
                <w:sz w:val="18"/>
                <w:szCs w:val="18"/>
              </w:rPr>
            </w:pPr>
            <w:r>
              <w:rPr>
                <w:sz w:val="18"/>
                <w:szCs w:val="18"/>
              </w:rPr>
              <w:t>1</w:t>
            </w:r>
            <w:r w:rsidR="008C7D9F">
              <w:rPr>
                <w:sz w:val="18"/>
                <w:szCs w:val="18"/>
              </w:rPr>
              <w:t>2.</w:t>
            </w:r>
            <w:r w:rsidR="00BD0179">
              <w:rPr>
                <w:sz w:val="18"/>
                <w:szCs w:val="18"/>
              </w:rPr>
              <w:t>11</w:t>
            </w:r>
            <w:r w:rsidR="00365724">
              <w:rPr>
                <w:sz w:val="18"/>
                <w:szCs w:val="18"/>
              </w:rPr>
              <w:t xml:space="preserve"> </w:t>
            </w:r>
            <w:r w:rsidR="0038098E">
              <w:rPr>
                <w:sz w:val="18"/>
                <w:szCs w:val="18"/>
              </w:rPr>
              <w:t>%</w:t>
            </w:r>
          </w:p>
        </w:tc>
        <w:tc>
          <w:tcPr>
            <w:tcW w:w="3567" w:type="dxa"/>
          </w:tcPr>
          <w:p w14:paraId="3F8DA4C5" w14:textId="79E00907" w:rsidR="0038098E" w:rsidRPr="009B08E1" w:rsidRDefault="0038098E" w:rsidP="0038098E">
            <w:pPr>
              <w:tabs>
                <w:tab w:val="left" w:pos="1014"/>
              </w:tabs>
              <w:jc w:val="both"/>
              <w:rPr>
                <w:b/>
                <w:bCs/>
                <w:sz w:val="18"/>
                <w:szCs w:val="18"/>
              </w:rPr>
            </w:pPr>
            <w:r w:rsidRPr="009B08E1">
              <w:rPr>
                <w:b/>
                <w:bCs/>
                <w:sz w:val="18"/>
                <w:szCs w:val="18"/>
              </w:rPr>
              <w:t>Outperformance / (Underperformance)</w:t>
            </w:r>
          </w:p>
        </w:tc>
        <w:tc>
          <w:tcPr>
            <w:tcW w:w="941" w:type="dxa"/>
          </w:tcPr>
          <w:p w14:paraId="37F7011E" w14:textId="4DF765E2" w:rsidR="0038098E" w:rsidRDefault="008C7D9F" w:rsidP="00867B89">
            <w:pPr>
              <w:tabs>
                <w:tab w:val="left" w:pos="1014"/>
              </w:tabs>
              <w:jc w:val="right"/>
            </w:pPr>
            <w:r>
              <w:rPr>
                <w:sz w:val="18"/>
                <w:szCs w:val="18"/>
              </w:rPr>
              <w:t>1</w:t>
            </w:r>
            <w:r w:rsidR="00BD0179">
              <w:rPr>
                <w:sz w:val="18"/>
                <w:szCs w:val="18"/>
              </w:rPr>
              <w:t>30</w:t>
            </w:r>
            <w:r>
              <w:rPr>
                <w:sz w:val="18"/>
                <w:szCs w:val="18"/>
              </w:rPr>
              <w:t>.</w:t>
            </w:r>
            <w:r w:rsidR="00BD0179">
              <w:rPr>
                <w:sz w:val="18"/>
                <w:szCs w:val="18"/>
              </w:rPr>
              <w:t>40</w:t>
            </w:r>
            <w:r w:rsidR="00365724">
              <w:rPr>
                <w:sz w:val="18"/>
                <w:szCs w:val="18"/>
              </w:rPr>
              <w:t xml:space="preserve"> </w:t>
            </w:r>
            <w:r w:rsidR="0038098E">
              <w:rPr>
                <w:sz w:val="18"/>
                <w:szCs w:val="18"/>
              </w:rPr>
              <w:t>%</w:t>
            </w:r>
          </w:p>
        </w:tc>
      </w:tr>
    </w:tbl>
    <w:p w14:paraId="0F4BB6F8" w14:textId="7A43C5A1" w:rsidR="0038098E" w:rsidRPr="009B08E1" w:rsidRDefault="009B08E1" w:rsidP="009B08E1">
      <w:pPr>
        <w:tabs>
          <w:tab w:val="left" w:pos="1014"/>
        </w:tabs>
        <w:spacing w:before="240"/>
        <w:jc w:val="both"/>
        <w:rPr>
          <w:b/>
          <w:bCs/>
          <w:u w:val="single"/>
        </w:rPr>
      </w:pPr>
      <w:r>
        <w:rPr>
          <w:b/>
          <w:bCs/>
          <w:u w:val="single"/>
        </w:rPr>
        <w:t>Fund Month by Month Performance Since Inception (May 2018):</w:t>
      </w:r>
    </w:p>
    <w:tbl>
      <w:tblPr>
        <w:tblStyle w:val="GridTable5Dark-Accent6"/>
        <w:tblW w:w="0" w:type="auto"/>
        <w:tblLook w:val="04A0" w:firstRow="1" w:lastRow="0" w:firstColumn="1" w:lastColumn="0" w:noHBand="0" w:noVBand="1"/>
      </w:tblPr>
      <w:tblGrid>
        <w:gridCol w:w="606"/>
        <w:gridCol w:w="630"/>
        <w:gridCol w:w="630"/>
        <w:gridCol w:w="681"/>
        <w:gridCol w:w="630"/>
        <w:gridCol w:w="630"/>
        <w:gridCol w:w="630"/>
        <w:gridCol w:w="630"/>
        <w:gridCol w:w="630"/>
        <w:gridCol w:w="712"/>
        <w:gridCol w:w="630"/>
        <w:gridCol w:w="630"/>
        <w:gridCol w:w="630"/>
        <w:gridCol w:w="690"/>
      </w:tblGrid>
      <w:tr w:rsidR="00BC52E3" w14:paraId="664EE3D6" w14:textId="77777777" w:rsidTr="00BC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38135" w:themeFill="accent6" w:themeFillShade="BF"/>
            <w:vAlign w:val="center"/>
          </w:tcPr>
          <w:p w14:paraId="22FA485A" w14:textId="77777777" w:rsidR="00B6036E" w:rsidRDefault="00B6036E" w:rsidP="00B6036E">
            <w:pPr>
              <w:tabs>
                <w:tab w:val="left" w:pos="1014"/>
              </w:tabs>
              <w:jc w:val="center"/>
            </w:pPr>
          </w:p>
        </w:tc>
        <w:tc>
          <w:tcPr>
            <w:tcW w:w="0" w:type="auto"/>
            <w:shd w:val="clear" w:color="auto" w:fill="538135" w:themeFill="accent6" w:themeFillShade="BF"/>
            <w:vAlign w:val="center"/>
          </w:tcPr>
          <w:p w14:paraId="76B67C0F" w14:textId="399667B8"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Jul</w:t>
            </w:r>
          </w:p>
        </w:tc>
        <w:tc>
          <w:tcPr>
            <w:tcW w:w="0" w:type="auto"/>
            <w:shd w:val="clear" w:color="auto" w:fill="538135" w:themeFill="accent6" w:themeFillShade="BF"/>
            <w:vAlign w:val="center"/>
          </w:tcPr>
          <w:p w14:paraId="51C243B5" w14:textId="0FE01CF6"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Aug</w:t>
            </w:r>
          </w:p>
        </w:tc>
        <w:tc>
          <w:tcPr>
            <w:tcW w:w="0" w:type="auto"/>
            <w:shd w:val="clear" w:color="auto" w:fill="538135" w:themeFill="accent6" w:themeFillShade="BF"/>
            <w:vAlign w:val="center"/>
          </w:tcPr>
          <w:p w14:paraId="24AC6520" w14:textId="0794D4DF"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Sep</w:t>
            </w:r>
          </w:p>
        </w:tc>
        <w:tc>
          <w:tcPr>
            <w:tcW w:w="0" w:type="auto"/>
            <w:shd w:val="clear" w:color="auto" w:fill="538135" w:themeFill="accent6" w:themeFillShade="BF"/>
            <w:vAlign w:val="center"/>
          </w:tcPr>
          <w:p w14:paraId="04B04576" w14:textId="2681F0F0"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Oct</w:t>
            </w:r>
          </w:p>
        </w:tc>
        <w:tc>
          <w:tcPr>
            <w:tcW w:w="0" w:type="auto"/>
            <w:shd w:val="clear" w:color="auto" w:fill="538135" w:themeFill="accent6" w:themeFillShade="BF"/>
            <w:vAlign w:val="center"/>
          </w:tcPr>
          <w:p w14:paraId="79656242" w14:textId="637233D7"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Nov</w:t>
            </w:r>
          </w:p>
        </w:tc>
        <w:tc>
          <w:tcPr>
            <w:tcW w:w="0" w:type="auto"/>
            <w:shd w:val="clear" w:color="auto" w:fill="538135" w:themeFill="accent6" w:themeFillShade="BF"/>
            <w:vAlign w:val="center"/>
          </w:tcPr>
          <w:p w14:paraId="41776621" w14:textId="2A4CB343"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Dec</w:t>
            </w:r>
          </w:p>
        </w:tc>
        <w:tc>
          <w:tcPr>
            <w:tcW w:w="0" w:type="auto"/>
            <w:shd w:val="clear" w:color="auto" w:fill="538135" w:themeFill="accent6" w:themeFillShade="BF"/>
            <w:vAlign w:val="center"/>
          </w:tcPr>
          <w:p w14:paraId="1C95C60C" w14:textId="257D44D0"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Jan</w:t>
            </w:r>
          </w:p>
        </w:tc>
        <w:tc>
          <w:tcPr>
            <w:tcW w:w="0" w:type="auto"/>
            <w:shd w:val="clear" w:color="auto" w:fill="538135" w:themeFill="accent6" w:themeFillShade="BF"/>
            <w:vAlign w:val="center"/>
          </w:tcPr>
          <w:p w14:paraId="38DB8DD5" w14:textId="45A322D4"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Feb</w:t>
            </w:r>
          </w:p>
        </w:tc>
        <w:tc>
          <w:tcPr>
            <w:tcW w:w="0" w:type="auto"/>
            <w:shd w:val="clear" w:color="auto" w:fill="538135" w:themeFill="accent6" w:themeFillShade="BF"/>
            <w:vAlign w:val="center"/>
          </w:tcPr>
          <w:p w14:paraId="59DCE531" w14:textId="3650B83F"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Mar</w:t>
            </w:r>
          </w:p>
        </w:tc>
        <w:tc>
          <w:tcPr>
            <w:tcW w:w="0" w:type="auto"/>
            <w:shd w:val="clear" w:color="auto" w:fill="538135" w:themeFill="accent6" w:themeFillShade="BF"/>
            <w:vAlign w:val="center"/>
          </w:tcPr>
          <w:p w14:paraId="0A516737" w14:textId="4D1B7FFB"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Apr</w:t>
            </w:r>
          </w:p>
        </w:tc>
        <w:tc>
          <w:tcPr>
            <w:tcW w:w="0" w:type="auto"/>
            <w:shd w:val="clear" w:color="auto" w:fill="538135" w:themeFill="accent6" w:themeFillShade="BF"/>
            <w:vAlign w:val="center"/>
          </w:tcPr>
          <w:p w14:paraId="6FF1575C" w14:textId="179FD5D9"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May</w:t>
            </w:r>
          </w:p>
        </w:tc>
        <w:tc>
          <w:tcPr>
            <w:tcW w:w="0" w:type="auto"/>
            <w:shd w:val="clear" w:color="auto" w:fill="538135" w:themeFill="accent6" w:themeFillShade="BF"/>
            <w:vAlign w:val="center"/>
          </w:tcPr>
          <w:p w14:paraId="18B14EF9" w14:textId="25BA4F30"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Jun</w:t>
            </w:r>
          </w:p>
        </w:tc>
        <w:tc>
          <w:tcPr>
            <w:tcW w:w="0" w:type="auto"/>
            <w:shd w:val="clear" w:color="auto" w:fill="538135" w:themeFill="accent6" w:themeFillShade="BF"/>
            <w:vAlign w:val="center"/>
          </w:tcPr>
          <w:p w14:paraId="652F6552" w14:textId="3B57B498" w:rsidR="00B6036E" w:rsidRDefault="00B6036E" w:rsidP="00B6036E">
            <w:pPr>
              <w:tabs>
                <w:tab w:val="left" w:pos="1014"/>
              </w:tabs>
              <w:jc w:val="center"/>
              <w:cnfStyle w:val="100000000000" w:firstRow="1" w:lastRow="0" w:firstColumn="0" w:lastColumn="0" w:oddVBand="0" w:evenVBand="0" w:oddHBand="0" w:evenHBand="0" w:firstRowFirstColumn="0" w:firstRowLastColumn="0" w:lastRowFirstColumn="0" w:lastRowLastColumn="0"/>
            </w:pPr>
            <w:r>
              <w:t>FYTD</w:t>
            </w:r>
          </w:p>
        </w:tc>
      </w:tr>
      <w:tr w:rsidR="001402BF" w14:paraId="3D816C63"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1E9A2A" w14:textId="77777777" w:rsidR="00B6036E" w:rsidRPr="001402BF" w:rsidRDefault="00B6036E" w:rsidP="00B6036E">
            <w:pPr>
              <w:tabs>
                <w:tab w:val="left" w:pos="1014"/>
              </w:tabs>
              <w:jc w:val="center"/>
              <w:rPr>
                <w:sz w:val="18"/>
                <w:szCs w:val="18"/>
              </w:rPr>
            </w:pPr>
            <w:r w:rsidRPr="001402BF">
              <w:rPr>
                <w:sz w:val="18"/>
                <w:szCs w:val="18"/>
              </w:rPr>
              <w:t>GWV</w:t>
            </w:r>
          </w:p>
          <w:p w14:paraId="7B877BE7" w14:textId="4FC337BC" w:rsidR="00B6036E" w:rsidRPr="001402BF" w:rsidRDefault="00B6036E" w:rsidP="00B6036E">
            <w:pPr>
              <w:tabs>
                <w:tab w:val="left" w:pos="1014"/>
              </w:tabs>
              <w:jc w:val="center"/>
              <w:rPr>
                <w:sz w:val="18"/>
                <w:szCs w:val="18"/>
              </w:rPr>
            </w:pPr>
            <w:r w:rsidRPr="001402BF">
              <w:rPr>
                <w:sz w:val="18"/>
                <w:szCs w:val="18"/>
              </w:rPr>
              <w:t>FY18</w:t>
            </w:r>
          </w:p>
        </w:tc>
        <w:tc>
          <w:tcPr>
            <w:tcW w:w="0" w:type="auto"/>
            <w:vAlign w:val="center"/>
          </w:tcPr>
          <w:p w14:paraId="17A95417" w14:textId="17052E3D"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560BC3E8" w14:textId="1AE460F5"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1C67750C" w14:textId="47BAAC25"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48021810" w14:textId="0CB7C44F"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1361FB53" w14:textId="05722D2B"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30F36D01" w14:textId="13089D6A"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05A98EA4" w14:textId="7A1FFCCE"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54D1E3CC" w14:textId="3A6E0750"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131CE81F" w14:textId="095B215B"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5701AD06" w14:textId="0BCCCB56" w:rsidR="00B6036E" w:rsidRPr="001402BF" w:rsidRDefault="00B6036E"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N/A</w:t>
            </w:r>
          </w:p>
        </w:tc>
        <w:tc>
          <w:tcPr>
            <w:tcW w:w="0" w:type="auto"/>
            <w:vAlign w:val="center"/>
          </w:tcPr>
          <w:p w14:paraId="7657AF1F" w14:textId="32AF2ECF" w:rsidR="00B6036E" w:rsidRPr="001402BF" w:rsidRDefault="001402BF"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sidRPr="001402BF">
              <w:rPr>
                <w:sz w:val="16"/>
                <w:szCs w:val="16"/>
              </w:rPr>
              <w:t>11.</w:t>
            </w:r>
            <w:r>
              <w:rPr>
                <w:sz w:val="16"/>
                <w:szCs w:val="16"/>
              </w:rPr>
              <w:t>8</w:t>
            </w:r>
            <w:r w:rsidRPr="001402BF">
              <w:rPr>
                <w:sz w:val="16"/>
                <w:szCs w:val="16"/>
              </w:rPr>
              <w:t>%</w:t>
            </w:r>
          </w:p>
        </w:tc>
        <w:tc>
          <w:tcPr>
            <w:tcW w:w="0" w:type="auto"/>
            <w:vAlign w:val="center"/>
          </w:tcPr>
          <w:p w14:paraId="1CE62057" w14:textId="66EB1D6B" w:rsidR="00B6036E" w:rsidRPr="001402BF" w:rsidRDefault="001402BF" w:rsidP="00B6036E">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w:t>
            </w:r>
          </w:p>
        </w:tc>
        <w:tc>
          <w:tcPr>
            <w:tcW w:w="0" w:type="auto"/>
            <w:shd w:val="clear" w:color="auto" w:fill="70AD47" w:themeFill="accent6"/>
            <w:vAlign w:val="center"/>
          </w:tcPr>
          <w:p w14:paraId="4373689F" w14:textId="7F905CDA" w:rsidR="00B6036E" w:rsidRPr="00FF13FE" w:rsidRDefault="001402BF" w:rsidP="0033415F">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FF13FE">
              <w:rPr>
                <w:b/>
                <w:bCs/>
                <w:color w:val="FFFFFF" w:themeColor="background1"/>
                <w:sz w:val="18"/>
                <w:szCs w:val="18"/>
              </w:rPr>
              <w:t>12.5%</w:t>
            </w:r>
          </w:p>
        </w:tc>
      </w:tr>
      <w:tr w:rsidR="001402BF" w14:paraId="07968BB4"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621712D8" w14:textId="77777777" w:rsidR="00B6036E" w:rsidRPr="001402BF" w:rsidRDefault="00B6036E" w:rsidP="00B6036E">
            <w:pPr>
              <w:tabs>
                <w:tab w:val="left" w:pos="1014"/>
              </w:tabs>
              <w:jc w:val="center"/>
              <w:rPr>
                <w:sz w:val="18"/>
                <w:szCs w:val="18"/>
              </w:rPr>
            </w:pPr>
            <w:r w:rsidRPr="001402BF">
              <w:rPr>
                <w:sz w:val="18"/>
                <w:szCs w:val="18"/>
              </w:rPr>
              <w:t>XJOA</w:t>
            </w:r>
          </w:p>
          <w:p w14:paraId="2927D687" w14:textId="025D4755" w:rsidR="00B6036E" w:rsidRPr="001402BF" w:rsidRDefault="00B6036E" w:rsidP="00B6036E">
            <w:pPr>
              <w:tabs>
                <w:tab w:val="left" w:pos="1014"/>
              </w:tabs>
              <w:jc w:val="center"/>
              <w:rPr>
                <w:sz w:val="18"/>
                <w:szCs w:val="18"/>
              </w:rPr>
            </w:pPr>
            <w:r w:rsidRPr="001402BF">
              <w:rPr>
                <w:sz w:val="18"/>
                <w:szCs w:val="18"/>
              </w:rPr>
              <w:t>FY18</w:t>
            </w:r>
          </w:p>
        </w:tc>
        <w:tc>
          <w:tcPr>
            <w:tcW w:w="0" w:type="auto"/>
            <w:vAlign w:val="center"/>
          </w:tcPr>
          <w:p w14:paraId="785DB43C" w14:textId="5C6B1676"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3DD84EAB" w14:textId="76CAA60E"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2E4ECD1D" w14:textId="47F96F5A"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201FA6F5" w14:textId="3BF963E4"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7954BB2D" w14:textId="7E578A13"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429D93B3" w14:textId="30D08162"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323818AA" w14:textId="00508B1E"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2D16F50B" w14:textId="397651B6"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64C3852E" w14:textId="326CD576"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3BD91BEA" w14:textId="557FEA8D" w:rsidR="00B6036E" w:rsidRPr="001402BF" w:rsidRDefault="00B6036E"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sidRPr="001402BF">
              <w:rPr>
                <w:sz w:val="16"/>
                <w:szCs w:val="16"/>
              </w:rPr>
              <w:t>N/A</w:t>
            </w:r>
          </w:p>
        </w:tc>
        <w:tc>
          <w:tcPr>
            <w:tcW w:w="0" w:type="auto"/>
            <w:vAlign w:val="center"/>
          </w:tcPr>
          <w:p w14:paraId="1310B08F" w14:textId="04280457" w:rsidR="00B6036E" w:rsidRPr="001402BF" w:rsidRDefault="001402BF"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0" w:type="auto"/>
            <w:vAlign w:val="center"/>
          </w:tcPr>
          <w:p w14:paraId="02521B8B" w14:textId="696BC82C" w:rsidR="00B6036E" w:rsidRPr="001402BF" w:rsidRDefault="001402BF" w:rsidP="00B6036E">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w:t>
            </w:r>
          </w:p>
        </w:tc>
        <w:tc>
          <w:tcPr>
            <w:tcW w:w="0" w:type="auto"/>
            <w:shd w:val="clear" w:color="auto" w:fill="70AD47" w:themeFill="accent6"/>
            <w:vAlign w:val="center"/>
          </w:tcPr>
          <w:p w14:paraId="22F762D0" w14:textId="230CF96A" w:rsidR="00B6036E" w:rsidRPr="00FF13FE" w:rsidRDefault="001402BF" w:rsidP="0033415F">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sidRPr="00FF13FE">
              <w:rPr>
                <w:b/>
                <w:bCs/>
                <w:color w:val="FFFFFF" w:themeColor="background1"/>
                <w:sz w:val="18"/>
                <w:szCs w:val="18"/>
              </w:rPr>
              <w:t>3.3%</w:t>
            </w:r>
          </w:p>
        </w:tc>
      </w:tr>
      <w:tr w:rsidR="00F15925" w14:paraId="049DECCA"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1C58E3" w14:textId="77777777" w:rsidR="00F15925" w:rsidRPr="001402BF" w:rsidRDefault="00F15925" w:rsidP="00F15925">
            <w:pPr>
              <w:tabs>
                <w:tab w:val="left" w:pos="1014"/>
              </w:tabs>
              <w:jc w:val="center"/>
              <w:rPr>
                <w:sz w:val="18"/>
                <w:szCs w:val="18"/>
              </w:rPr>
            </w:pPr>
            <w:r w:rsidRPr="001402BF">
              <w:rPr>
                <w:sz w:val="18"/>
                <w:szCs w:val="18"/>
              </w:rPr>
              <w:t>GWV</w:t>
            </w:r>
          </w:p>
          <w:p w14:paraId="0F729405" w14:textId="4BA755DB" w:rsidR="00F15925" w:rsidRPr="001402BF" w:rsidRDefault="00F15925" w:rsidP="00F15925">
            <w:pPr>
              <w:tabs>
                <w:tab w:val="left" w:pos="1014"/>
              </w:tabs>
              <w:jc w:val="center"/>
              <w:rPr>
                <w:sz w:val="18"/>
                <w:szCs w:val="18"/>
              </w:rPr>
            </w:pPr>
            <w:r w:rsidRPr="001402BF">
              <w:rPr>
                <w:sz w:val="18"/>
                <w:szCs w:val="18"/>
              </w:rPr>
              <w:t>FY1</w:t>
            </w:r>
            <w:r>
              <w:rPr>
                <w:sz w:val="18"/>
                <w:szCs w:val="18"/>
              </w:rPr>
              <w:t>9</w:t>
            </w:r>
          </w:p>
        </w:tc>
        <w:tc>
          <w:tcPr>
            <w:tcW w:w="0" w:type="auto"/>
            <w:vAlign w:val="center"/>
          </w:tcPr>
          <w:p w14:paraId="39A534D2" w14:textId="74680CF1" w:rsidR="00F15925" w:rsidRPr="001402BF" w:rsidRDefault="00F15925"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c>
          <w:tcPr>
            <w:tcW w:w="0" w:type="auto"/>
            <w:vAlign w:val="center"/>
          </w:tcPr>
          <w:p w14:paraId="11E82E30" w14:textId="669F888E" w:rsidR="00F15925" w:rsidRPr="001402BF" w:rsidRDefault="00F15925"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c>
          <w:tcPr>
            <w:tcW w:w="0" w:type="auto"/>
            <w:vAlign w:val="center"/>
          </w:tcPr>
          <w:p w14:paraId="1340AF5F" w14:textId="44F7F896" w:rsidR="00F15925" w:rsidRPr="001402BF" w:rsidRDefault="00F15925"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9D5BC3">
              <w:rPr>
                <w:sz w:val="16"/>
                <w:szCs w:val="16"/>
              </w:rPr>
              <w:t>1.0%)</w:t>
            </w:r>
          </w:p>
        </w:tc>
        <w:tc>
          <w:tcPr>
            <w:tcW w:w="0" w:type="auto"/>
            <w:vAlign w:val="center"/>
          </w:tcPr>
          <w:p w14:paraId="33949160" w14:textId="50901232"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w:t>
            </w:r>
          </w:p>
        </w:tc>
        <w:tc>
          <w:tcPr>
            <w:tcW w:w="0" w:type="auto"/>
            <w:vAlign w:val="center"/>
          </w:tcPr>
          <w:p w14:paraId="6599DCC0" w14:textId="0E908EB2"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w:t>
            </w:r>
          </w:p>
        </w:tc>
        <w:tc>
          <w:tcPr>
            <w:tcW w:w="0" w:type="auto"/>
            <w:vAlign w:val="center"/>
          </w:tcPr>
          <w:p w14:paraId="5AB69986" w14:textId="2C994A44"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(3.2%)</w:t>
            </w:r>
          </w:p>
        </w:tc>
        <w:tc>
          <w:tcPr>
            <w:tcW w:w="0" w:type="auto"/>
            <w:vAlign w:val="center"/>
          </w:tcPr>
          <w:p w14:paraId="2A2C9979" w14:textId="2FFE584A"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w:t>
            </w:r>
          </w:p>
        </w:tc>
        <w:tc>
          <w:tcPr>
            <w:tcW w:w="0" w:type="auto"/>
            <w:vAlign w:val="center"/>
          </w:tcPr>
          <w:p w14:paraId="0C089119" w14:textId="1F6B419C"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12.5%</w:t>
            </w:r>
          </w:p>
        </w:tc>
        <w:tc>
          <w:tcPr>
            <w:tcW w:w="0" w:type="auto"/>
            <w:vAlign w:val="center"/>
          </w:tcPr>
          <w:p w14:paraId="3FB33344" w14:textId="374F3001"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p>
        </w:tc>
        <w:tc>
          <w:tcPr>
            <w:tcW w:w="0" w:type="auto"/>
            <w:vAlign w:val="center"/>
          </w:tcPr>
          <w:p w14:paraId="58C2809B" w14:textId="6BE2B9EC" w:rsidR="00F15925" w:rsidRPr="001402BF"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6.9%</w:t>
            </w:r>
          </w:p>
        </w:tc>
        <w:tc>
          <w:tcPr>
            <w:tcW w:w="0" w:type="auto"/>
            <w:vAlign w:val="center"/>
          </w:tcPr>
          <w:p w14:paraId="38CCB065" w14:textId="6D58D8A8" w:rsidR="00F15925"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w:t>
            </w:r>
          </w:p>
        </w:tc>
        <w:tc>
          <w:tcPr>
            <w:tcW w:w="0" w:type="auto"/>
            <w:vAlign w:val="center"/>
          </w:tcPr>
          <w:p w14:paraId="1F97F6B9" w14:textId="57BC1037" w:rsidR="00F15925" w:rsidRDefault="00172AD3" w:rsidP="00F15925">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w:t>
            </w:r>
          </w:p>
        </w:tc>
        <w:tc>
          <w:tcPr>
            <w:tcW w:w="0" w:type="auto"/>
            <w:shd w:val="clear" w:color="auto" w:fill="70AD47" w:themeFill="accent6"/>
            <w:vAlign w:val="center"/>
          </w:tcPr>
          <w:p w14:paraId="23E0DD7E" w14:textId="02E140D0" w:rsidR="00F15925" w:rsidRPr="00FF13FE" w:rsidRDefault="00172AD3" w:rsidP="0033415F">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sidRPr="00FF13FE">
              <w:rPr>
                <w:b/>
                <w:bCs/>
                <w:color w:val="FFFFFF" w:themeColor="background1"/>
                <w:sz w:val="18"/>
                <w:szCs w:val="18"/>
              </w:rPr>
              <w:t>13.3%</w:t>
            </w:r>
          </w:p>
        </w:tc>
      </w:tr>
      <w:tr w:rsidR="00F15925" w14:paraId="1DB625F0"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5A71474E" w14:textId="77777777" w:rsidR="00F15925" w:rsidRPr="001402BF" w:rsidRDefault="00F15925" w:rsidP="00F15925">
            <w:pPr>
              <w:tabs>
                <w:tab w:val="left" w:pos="1014"/>
              </w:tabs>
              <w:jc w:val="center"/>
              <w:rPr>
                <w:sz w:val="18"/>
                <w:szCs w:val="18"/>
              </w:rPr>
            </w:pPr>
            <w:r w:rsidRPr="001402BF">
              <w:rPr>
                <w:sz w:val="18"/>
                <w:szCs w:val="18"/>
              </w:rPr>
              <w:t>XJOA</w:t>
            </w:r>
          </w:p>
          <w:p w14:paraId="3991B5D5" w14:textId="1D82B35E" w:rsidR="00F15925" w:rsidRPr="001402BF" w:rsidRDefault="00F15925" w:rsidP="00F15925">
            <w:pPr>
              <w:tabs>
                <w:tab w:val="left" w:pos="1014"/>
              </w:tabs>
              <w:jc w:val="center"/>
              <w:rPr>
                <w:sz w:val="18"/>
                <w:szCs w:val="18"/>
              </w:rPr>
            </w:pPr>
            <w:r w:rsidRPr="001402BF">
              <w:rPr>
                <w:sz w:val="18"/>
                <w:szCs w:val="18"/>
              </w:rPr>
              <w:t>FY1</w:t>
            </w:r>
            <w:r>
              <w:rPr>
                <w:sz w:val="18"/>
                <w:szCs w:val="18"/>
              </w:rPr>
              <w:t>9</w:t>
            </w:r>
          </w:p>
        </w:tc>
        <w:tc>
          <w:tcPr>
            <w:tcW w:w="0" w:type="auto"/>
            <w:vAlign w:val="center"/>
          </w:tcPr>
          <w:p w14:paraId="25F98BEA" w14:textId="2CDAD173"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0" w:type="auto"/>
            <w:vAlign w:val="center"/>
          </w:tcPr>
          <w:p w14:paraId="71795A2F" w14:textId="3893F702"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1.4%</w:t>
            </w:r>
          </w:p>
        </w:tc>
        <w:tc>
          <w:tcPr>
            <w:tcW w:w="0" w:type="auto"/>
            <w:vAlign w:val="center"/>
          </w:tcPr>
          <w:p w14:paraId="5785B688" w14:textId="7BB6BB58"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w:t>
            </w:r>
          </w:p>
        </w:tc>
        <w:tc>
          <w:tcPr>
            <w:tcW w:w="0" w:type="auto"/>
            <w:vAlign w:val="center"/>
          </w:tcPr>
          <w:p w14:paraId="3FB86A2E" w14:textId="6ACBE34B"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(6.1%)</w:t>
            </w:r>
          </w:p>
        </w:tc>
        <w:tc>
          <w:tcPr>
            <w:tcW w:w="0" w:type="auto"/>
            <w:vAlign w:val="center"/>
          </w:tcPr>
          <w:p w14:paraId="20CE3A55" w14:textId="1FCBE685"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c>
          <w:tcPr>
            <w:tcW w:w="0" w:type="auto"/>
            <w:vAlign w:val="center"/>
          </w:tcPr>
          <w:p w14:paraId="22A09DA1" w14:textId="686C5A06"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c>
          <w:tcPr>
            <w:tcW w:w="0" w:type="auto"/>
            <w:vAlign w:val="center"/>
          </w:tcPr>
          <w:p w14:paraId="06CBFFA9" w14:textId="6A45D0C1"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3.9%</w:t>
            </w:r>
          </w:p>
        </w:tc>
        <w:tc>
          <w:tcPr>
            <w:tcW w:w="0" w:type="auto"/>
            <w:vAlign w:val="center"/>
          </w:tcPr>
          <w:p w14:paraId="5B1BA586" w14:textId="184131FF"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w:t>
            </w:r>
          </w:p>
        </w:tc>
        <w:tc>
          <w:tcPr>
            <w:tcW w:w="0" w:type="auto"/>
            <w:vAlign w:val="center"/>
          </w:tcPr>
          <w:p w14:paraId="4EA9E92F" w14:textId="5F7412BE"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w:t>
            </w:r>
          </w:p>
        </w:tc>
        <w:tc>
          <w:tcPr>
            <w:tcW w:w="0" w:type="auto"/>
            <w:vAlign w:val="center"/>
          </w:tcPr>
          <w:p w14:paraId="6763924E" w14:textId="2A881A55" w:rsidR="00F15925" w:rsidRPr="001402BF"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0" w:type="auto"/>
            <w:vAlign w:val="center"/>
          </w:tcPr>
          <w:p w14:paraId="71F09931" w14:textId="206B6B2E" w:rsidR="00F15925"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1.7%</w:t>
            </w:r>
          </w:p>
        </w:tc>
        <w:tc>
          <w:tcPr>
            <w:tcW w:w="0" w:type="auto"/>
            <w:vAlign w:val="center"/>
          </w:tcPr>
          <w:p w14:paraId="3631EB5B" w14:textId="1678E983" w:rsidR="00F15925" w:rsidRDefault="00172AD3" w:rsidP="00F15925">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w:t>
            </w:r>
          </w:p>
        </w:tc>
        <w:tc>
          <w:tcPr>
            <w:tcW w:w="0" w:type="auto"/>
            <w:shd w:val="clear" w:color="auto" w:fill="70AD47" w:themeFill="accent6"/>
            <w:vAlign w:val="center"/>
          </w:tcPr>
          <w:p w14:paraId="341ED3F5" w14:textId="652FE121" w:rsidR="00F15925" w:rsidRPr="00FF13FE" w:rsidRDefault="00172AD3" w:rsidP="0033415F">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sidRPr="00FF13FE">
              <w:rPr>
                <w:b/>
                <w:bCs/>
                <w:color w:val="FFFFFF" w:themeColor="background1"/>
                <w:sz w:val="18"/>
                <w:szCs w:val="18"/>
              </w:rPr>
              <w:t>11.6%</w:t>
            </w:r>
          </w:p>
        </w:tc>
      </w:tr>
      <w:tr w:rsidR="00F50D03" w14:paraId="0B037331"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325CA5" w14:textId="77777777" w:rsidR="00F50D03" w:rsidRPr="001402BF" w:rsidRDefault="00F50D03" w:rsidP="00F50D03">
            <w:pPr>
              <w:tabs>
                <w:tab w:val="left" w:pos="1014"/>
              </w:tabs>
              <w:jc w:val="center"/>
              <w:rPr>
                <w:sz w:val="18"/>
                <w:szCs w:val="18"/>
              </w:rPr>
            </w:pPr>
            <w:r w:rsidRPr="001402BF">
              <w:rPr>
                <w:sz w:val="18"/>
                <w:szCs w:val="18"/>
              </w:rPr>
              <w:t>GWV</w:t>
            </w:r>
          </w:p>
          <w:p w14:paraId="502C9CBD" w14:textId="383E2E74" w:rsidR="00F50D03" w:rsidRPr="001402BF" w:rsidRDefault="00F50D03" w:rsidP="00F50D03">
            <w:pPr>
              <w:tabs>
                <w:tab w:val="left" w:pos="1014"/>
              </w:tabs>
              <w:jc w:val="center"/>
              <w:rPr>
                <w:sz w:val="18"/>
                <w:szCs w:val="18"/>
              </w:rPr>
            </w:pPr>
            <w:r w:rsidRPr="001402BF">
              <w:rPr>
                <w:sz w:val="18"/>
                <w:szCs w:val="18"/>
              </w:rPr>
              <w:t>FY</w:t>
            </w:r>
            <w:r>
              <w:rPr>
                <w:sz w:val="18"/>
                <w:szCs w:val="18"/>
              </w:rPr>
              <w:t>20</w:t>
            </w:r>
          </w:p>
        </w:tc>
        <w:tc>
          <w:tcPr>
            <w:tcW w:w="0" w:type="auto"/>
            <w:vAlign w:val="center"/>
          </w:tcPr>
          <w:p w14:paraId="5A85DAF8" w14:textId="38891067" w:rsidR="00F50D03" w:rsidRDefault="00F50D03"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c>
          <w:tcPr>
            <w:tcW w:w="0" w:type="auto"/>
            <w:vAlign w:val="center"/>
          </w:tcPr>
          <w:p w14:paraId="5C2E53E7" w14:textId="53CE06E1" w:rsidR="00F50D03" w:rsidRDefault="00F50D03"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(1.5%)</w:t>
            </w:r>
          </w:p>
        </w:tc>
        <w:tc>
          <w:tcPr>
            <w:tcW w:w="0" w:type="auto"/>
            <w:vAlign w:val="center"/>
          </w:tcPr>
          <w:p w14:paraId="7855AFC3" w14:textId="556172A2" w:rsidR="00F50D03" w:rsidRDefault="00F50D03"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1.8%</w:t>
            </w:r>
          </w:p>
        </w:tc>
        <w:tc>
          <w:tcPr>
            <w:tcW w:w="0" w:type="auto"/>
            <w:vAlign w:val="center"/>
          </w:tcPr>
          <w:p w14:paraId="0A44CCCC" w14:textId="5394CA7B"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(2.6%)</w:t>
            </w:r>
          </w:p>
        </w:tc>
        <w:tc>
          <w:tcPr>
            <w:tcW w:w="0" w:type="auto"/>
            <w:vAlign w:val="center"/>
          </w:tcPr>
          <w:p w14:paraId="0C715274" w14:textId="57732995"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w:t>
            </w:r>
          </w:p>
        </w:tc>
        <w:tc>
          <w:tcPr>
            <w:tcW w:w="0" w:type="auto"/>
            <w:vAlign w:val="center"/>
          </w:tcPr>
          <w:p w14:paraId="7274E349" w14:textId="19691088"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3.6%</w:t>
            </w:r>
          </w:p>
        </w:tc>
        <w:tc>
          <w:tcPr>
            <w:tcW w:w="0" w:type="auto"/>
            <w:vAlign w:val="center"/>
          </w:tcPr>
          <w:p w14:paraId="09405BBD" w14:textId="6D9A0E71"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(0.9%)</w:t>
            </w:r>
          </w:p>
        </w:tc>
        <w:tc>
          <w:tcPr>
            <w:tcW w:w="0" w:type="auto"/>
            <w:vAlign w:val="center"/>
          </w:tcPr>
          <w:p w14:paraId="050C0AA6" w14:textId="4F3D751A"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w:t>
            </w:r>
          </w:p>
        </w:tc>
        <w:tc>
          <w:tcPr>
            <w:tcW w:w="0" w:type="auto"/>
            <w:vAlign w:val="center"/>
          </w:tcPr>
          <w:p w14:paraId="3A01437E" w14:textId="127DE250"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(20.6%)</w:t>
            </w:r>
          </w:p>
        </w:tc>
        <w:tc>
          <w:tcPr>
            <w:tcW w:w="0" w:type="auto"/>
            <w:vAlign w:val="center"/>
          </w:tcPr>
          <w:p w14:paraId="5D8713A9" w14:textId="01F53A3B"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19.8%</w:t>
            </w:r>
          </w:p>
        </w:tc>
        <w:tc>
          <w:tcPr>
            <w:tcW w:w="0" w:type="auto"/>
            <w:vAlign w:val="center"/>
          </w:tcPr>
          <w:p w14:paraId="220A20E6" w14:textId="7ABED7E1"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11.7%</w:t>
            </w:r>
          </w:p>
        </w:tc>
        <w:tc>
          <w:tcPr>
            <w:tcW w:w="0" w:type="auto"/>
            <w:vAlign w:val="center"/>
          </w:tcPr>
          <w:p w14:paraId="799CDD9C" w14:textId="39C2074C" w:rsidR="00F50D03" w:rsidRDefault="007C0B66" w:rsidP="00F50D03">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3.5%</w:t>
            </w:r>
          </w:p>
        </w:tc>
        <w:tc>
          <w:tcPr>
            <w:tcW w:w="0" w:type="auto"/>
            <w:shd w:val="clear" w:color="auto" w:fill="70AD47" w:themeFill="accent6"/>
            <w:vAlign w:val="center"/>
          </w:tcPr>
          <w:p w14:paraId="11EEA382" w14:textId="2565AA54" w:rsidR="00F50D03" w:rsidRPr="00FF13FE" w:rsidRDefault="007C0B66" w:rsidP="0033415F">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6.9%</w:t>
            </w:r>
          </w:p>
        </w:tc>
      </w:tr>
      <w:tr w:rsidR="00F50D03" w14:paraId="5BC246C7"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67BD45F4" w14:textId="77777777" w:rsidR="00F50D03" w:rsidRPr="001402BF" w:rsidRDefault="00F50D03" w:rsidP="00F50D03">
            <w:pPr>
              <w:tabs>
                <w:tab w:val="left" w:pos="1014"/>
              </w:tabs>
              <w:jc w:val="center"/>
              <w:rPr>
                <w:sz w:val="18"/>
                <w:szCs w:val="18"/>
              </w:rPr>
            </w:pPr>
            <w:r w:rsidRPr="001402BF">
              <w:rPr>
                <w:sz w:val="18"/>
                <w:szCs w:val="18"/>
              </w:rPr>
              <w:t>XJOA</w:t>
            </w:r>
          </w:p>
          <w:p w14:paraId="1E66E4C9" w14:textId="6688B136" w:rsidR="00F50D03" w:rsidRPr="001402BF" w:rsidRDefault="00F50D03" w:rsidP="00F50D03">
            <w:pPr>
              <w:tabs>
                <w:tab w:val="left" w:pos="1014"/>
              </w:tabs>
              <w:jc w:val="center"/>
              <w:rPr>
                <w:sz w:val="18"/>
                <w:szCs w:val="18"/>
              </w:rPr>
            </w:pPr>
            <w:r w:rsidRPr="001402BF">
              <w:rPr>
                <w:sz w:val="18"/>
                <w:szCs w:val="18"/>
              </w:rPr>
              <w:t>FY</w:t>
            </w:r>
            <w:r>
              <w:rPr>
                <w:sz w:val="18"/>
                <w:szCs w:val="18"/>
              </w:rPr>
              <w:t>20</w:t>
            </w:r>
          </w:p>
        </w:tc>
        <w:tc>
          <w:tcPr>
            <w:tcW w:w="0" w:type="auto"/>
            <w:vAlign w:val="center"/>
          </w:tcPr>
          <w:p w14:paraId="6C63BF85" w14:textId="06EE2C73"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0" w:type="auto"/>
            <w:vAlign w:val="center"/>
          </w:tcPr>
          <w:p w14:paraId="49B73C9D" w14:textId="630F0D2A"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0" w:type="auto"/>
            <w:vAlign w:val="center"/>
          </w:tcPr>
          <w:p w14:paraId="159D3113" w14:textId="4EE9B414"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p>
        </w:tc>
        <w:tc>
          <w:tcPr>
            <w:tcW w:w="0" w:type="auto"/>
            <w:vAlign w:val="center"/>
          </w:tcPr>
          <w:p w14:paraId="4A7057CE" w14:textId="3FEB0251"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w:t>
            </w:r>
          </w:p>
        </w:tc>
        <w:tc>
          <w:tcPr>
            <w:tcW w:w="0" w:type="auto"/>
            <w:vAlign w:val="center"/>
          </w:tcPr>
          <w:p w14:paraId="52E552A0" w14:textId="0A0FA271"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3.3%</w:t>
            </w:r>
          </w:p>
        </w:tc>
        <w:tc>
          <w:tcPr>
            <w:tcW w:w="0" w:type="auto"/>
            <w:vAlign w:val="center"/>
          </w:tcPr>
          <w:p w14:paraId="429FA755" w14:textId="34BE9C95"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(2.2%)</w:t>
            </w:r>
          </w:p>
        </w:tc>
        <w:tc>
          <w:tcPr>
            <w:tcW w:w="0" w:type="auto"/>
            <w:vAlign w:val="center"/>
          </w:tcPr>
          <w:p w14:paraId="01E32E3E" w14:textId="4162B06E"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0" w:type="auto"/>
            <w:vAlign w:val="center"/>
          </w:tcPr>
          <w:p w14:paraId="0371A325" w14:textId="5356ADA9"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(7.7%)</w:t>
            </w:r>
          </w:p>
        </w:tc>
        <w:tc>
          <w:tcPr>
            <w:tcW w:w="0" w:type="auto"/>
            <w:vAlign w:val="center"/>
          </w:tcPr>
          <w:p w14:paraId="398C72C6" w14:textId="11B18962"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(20.7%)</w:t>
            </w:r>
          </w:p>
        </w:tc>
        <w:tc>
          <w:tcPr>
            <w:tcW w:w="0" w:type="auto"/>
            <w:vAlign w:val="center"/>
          </w:tcPr>
          <w:p w14:paraId="5C1BE678" w14:textId="1BF3CFC1"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w:t>
            </w:r>
          </w:p>
        </w:tc>
        <w:tc>
          <w:tcPr>
            <w:tcW w:w="0" w:type="auto"/>
            <w:vAlign w:val="center"/>
          </w:tcPr>
          <w:p w14:paraId="35655E44" w14:textId="538ED096"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4.4%</w:t>
            </w:r>
          </w:p>
        </w:tc>
        <w:tc>
          <w:tcPr>
            <w:tcW w:w="0" w:type="auto"/>
            <w:vAlign w:val="center"/>
          </w:tcPr>
          <w:p w14:paraId="0CDE13EC" w14:textId="7CC3C6B7" w:rsidR="00F50D03" w:rsidRDefault="007C0B66" w:rsidP="00F50D03">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0" w:type="auto"/>
            <w:shd w:val="clear" w:color="auto" w:fill="70AD47" w:themeFill="accent6"/>
            <w:vAlign w:val="center"/>
          </w:tcPr>
          <w:p w14:paraId="3EAF0792" w14:textId="5428C0A7" w:rsidR="00F50D03" w:rsidRPr="00FF13FE" w:rsidRDefault="007C0B66" w:rsidP="0033415F">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Pr>
                <w:b/>
                <w:bCs/>
                <w:color w:val="FFFFFF" w:themeColor="background1"/>
                <w:sz w:val="18"/>
                <w:szCs w:val="18"/>
              </w:rPr>
              <w:t>(7.7%)</w:t>
            </w:r>
          </w:p>
        </w:tc>
      </w:tr>
      <w:tr w:rsidR="00BA7DC7" w14:paraId="4DF55F2D"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BD51D6" w14:textId="77777777" w:rsidR="00BA7DC7" w:rsidRPr="001402BF" w:rsidRDefault="00BA7DC7" w:rsidP="00BA7DC7">
            <w:pPr>
              <w:tabs>
                <w:tab w:val="left" w:pos="1014"/>
              </w:tabs>
              <w:jc w:val="center"/>
              <w:rPr>
                <w:sz w:val="18"/>
                <w:szCs w:val="18"/>
              </w:rPr>
            </w:pPr>
            <w:r w:rsidRPr="001402BF">
              <w:rPr>
                <w:sz w:val="18"/>
                <w:szCs w:val="18"/>
              </w:rPr>
              <w:t>GWV</w:t>
            </w:r>
          </w:p>
          <w:p w14:paraId="7AB5CB44" w14:textId="5FF94FBD" w:rsidR="00BA7DC7" w:rsidRPr="001402BF" w:rsidRDefault="00BA7DC7" w:rsidP="00BA7DC7">
            <w:pPr>
              <w:tabs>
                <w:tab w:val="left" w:pos="1014"/>
              </w:tabs>
              <w:jc w:val="center"/>
              <w:rPr>
                <w:sz w:val="18"/>
                <w:szCs w:val="18"/>
              </w:rPr>
            </w:pPr>
            <w:r w:rsidRPr="001402BF">
              <w:rPr>
                <w:sz w:val="18"/>
                <w:szCs w:val="18"/>
              </w:rPr>
              <w:t>FY</w:t>
            </w:r>
            <w:r>
              <w:rPr>
                <w:sz w:val="18"/>
                <w:szCs w:val="18"/>
              </w:rPr>
              <w:t>21</w:t>
            </w:r>
          </w:p>
        </w:tc>
        <w:tc>
          <w:tcPr>
            <w:tcW w:w="0" w:type="auto"/>
            <w:vAlign w:val="center"/>
          </w:tcPr>
          <w:p w14:paraId="2B43EABD" w14:textId="72B74BC3"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2.6%</w:t>
            </w:r>
          </w:p>
        </w:tc>
        <w:tc>
          <w:tcPr>
            <w:tcW w:w="0" w:type="auto"/>
            <w:vAlign w:val="center"/>
          </w:tcPr>
          <w:p w14:paraId="67911206" w14:textId="14892DC0"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12.2%</w:t>
            </w:r>
          </w:p>
        </w:tc>
        <w:tc>
          <w:tcPr>
            <w:tcW w:w="0" w:type="auto"/>
            <w:vAlign w:val="center"/>
          </w:tcPr>
          <w:p w14:paraId="436D6751" w14:textId="1A93C68A"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w:t>
            </w:r>
          </w:p>
        </w:tc>
        <w:tc>
          <w:tcPr>
            <w:tcW w:w="0" w:type="auto"/>
            <w:vAlign w:val="center"/>
          </w:tcPr>
          <w:p w14:paraId="572160EC" w14:textId="1AED7036"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w:t>
            </w:r>
          </w:p>
        </w:tc>
        <w:tc>
          <w:tcPr>
            <w:tcW w:w="0" w:type="auto"/>
            <w:vAlign w:val="center"/>
          </w:tcPr>
          <w:p w14:paraId="3690170D" w14:textId="07EE589E"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13.3%</w:t>
            </w:r>
          </w:p>
        </w:tc>
        <w:tc>
          <w:tcPr>
            <w:tcW w:w="0" w:type="auto"/>
            <w:vAlign w:val="center"/>
          </w:tcPr>
          <w:p w14:paraId="50D114FB" w14:textId="38BA4449"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w:t>
            </w:r>
          </w:p>
        </w:tc>
        <w:tc>
          <w:tcPr>
            <w:tcW w:w="0" w:type="auto"/>
            <w:vAlign w:val="center"/>
          </w:tcPr>
          <w:p w14:paraId="001EB110" w14:textId="45A71BA9"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w:t>
            </w:r>
          </w:p>
        </w:tc>
        <w:tc>
          <w:tcPr>
            <w:tcW w:w="0" w:type="auto"/>
            <w:vAlign w:val="center"/>
          </w:tcPr>
          <w:p w14:paraId="347B580E" w14:textId="5982BBE9"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w:t>
            </w:r>
          </w:p>
        </w:tc>
        <w:tc>
          <w:tcPr>
            <w:tcW w:w="0" w:type="auto"/>
            <w:vAlign w:val="center"/>
          </w:tcPr>
          <w:p w14:paraId="7AEDCF20" w14:textId="67BD7A3F"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w:t>
            </w:r>
          </w:p>
        </w:tc>
        <w:tc>
          <w:tcPr>
            <w:tcW w:w="0" w:type="auto"/>
            <w:vAlign w:val="center"/>
          </w:tcPr>
          <w:p w14:paraId="102FF624" w14:textId="13344D8E"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5.4%</w:t>
            </w:r>
          </w:p>
        </w:tc>
        <w:tc>
          <w:tcPr>
            <w:tcW w:w="0" w:type="auto"/>
            <w:vAlign w:val="center"/>
          </w:tcPr>
          <w:p w14:paraId="1B026BC4" w14:textId="75DC076F"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(1.9%)</w:t>
            </w:r>
          </w:p>
        </w:tc>
        <w:tc>
          <w:tcPr>
            <w:tcW w:w="0" w:type="auto"/>
            <w:vAlign w:val="center"/>
          </w:tcPr>
          <w:p w14:paraId="46ED09E1" w14:textId="7BF51F93"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w:t>
            </w:r>
          </w:p>
        </w:tc>
        <w:tc>
          <w:tcPr>
            <w:tcW w:w="0" w:type="auto"/>
            <w:shd w:val="clear" w:color="auto" w:fill="70AD47" w:themeFill="accent6"/>
            <w:vAlign w:val="center"/>
          </w:tcPr>
          <w:p w14:paraId="0EA0E81D" w14:textId="5CF06859" w:rsidR="00BA7DC7" w:rsidRDefault="00BA7DC7" w:rsidP="00BA7DC7">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53.3%</w:t>
            </w:r>
          </w:p>
        </w:tc>
      </w:tr>
      <w:tr w:rsidR="00BA7DC7" w14:paraId="4B215B90"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50DDF34E" w14:textId="77777777" w:rsidR="00BA7DC7" w:rsidRPr="001402BF" w:rsidRDefault="00BA7DC7" w:rsidP="00BA7DC7">
            <w:pPr>
              <w:tabs>
                <w:tab w:val="left" w:pos="1014"/>
              </w:tabs>
              <w:jc w:val="center"/>
              <w:rPr>
                <w:sz w:val="18"/>
                <w:szCs w:val="18"/>
              </w:rPr>
            </w:pPr>
            <w:r w:rsidRPr="001402BF">
              <w:rPr>
                <w:sz w:val="18"/>
                <w:szCs w:val="18"/>
              </w:rPr>
              <w:t>XJOA</w:t>
            </w:r>
          </w:p>
          <w:p w14:paraId="5951157E" w14:textId="6DCBE09C" w:rsidR="00BA7DC7" w:rsidRPr="001402BF" w:rsidRDefault="00BA7DC7" w:rsidP="00BA7DC7">
            <w:pPr>
              <w:tabs>
                <w:tab w:val="left" w:pos="1014"/>
              </w:tabs>
              <w:jc w:val="center"/>
              <w:rPr>
                <w:sz w:val="18"/>
                <w:szCs w:val="18"/>
              </w:rPr>
            </w:pPr>
            <w:r w:rsidRPr="001402BF">
              <w:rPr>
                <w:sz w:val="18"/>
                <w:szCs w:val="18"/>
              </w:rPr>
              <w:t>FY</w:t>
            </w:r>
            <w:r>
              <w:rPr>
                <w:sz w:val="18"/>
                <w:szCs w:val="18"/>
              </w:rPr>
              <w:t>21</w:t>
            </w:r>
          </w:p>
        </w:tc>
        <w:tc>
          <w:tcPr>
            <w:tcW w:w="0" w:type="auto"/>
            <w:vAlign w:val="center"/>
          </w:tcPr>
          <w:p w14:paraId="16B25BF1" w14:textId="328637AF"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w:t>
            </w:r>
          </w:p>
        </w:tc>
        <w:tc>
          <w:tcPr>
            <w:tcW w:w="0" w:type="auto"/>
            <w:vAlign w:val="center"/>
          </w:tcPr>
          <w:p w14:paraId="537DE5DF" w14:textId="0E707D74"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w:t>
            </w:r>
          </w:p>
        </w:tc>
        <w:tc>
          <w:tcPr>
            <w:tcW w:w="0" w:type="auto"/>
            <w:vAlign w:val="center"/>
          </w:tcPr>
          <w:p w14:paraId="1FE87421" w14:textId="11C2A576"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(3.7%)</w:t>
            </w:r>
          </w:p>
        </w:tc>
        <w:tc>
          <w:tcPr>
            <w:tcW w:w="0" w:type="auto"/>
            <w:vAlign w:val="center"/>
          </w:tcPr>
          <w:p w14:paraId="33BBE0D8" w14:textId="3A1D3414"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c>
          <w:tcPr>
            <w:tcW w:w="0" w:type="auto"/>
            <w:vAlign w:val="center"/>
          </w:tcPr>
          <w:p w14:paraId="49AD838D" w14:textId="45D64C6E"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10.2%</w:t>
            </w:r>
          </w:p>
        </w:tc>
        <w:tc>
          <w:tcPr>
            <w:tcW w:w="0" w:type="auto"/>
            <w:vAlign w:val="center"/>
          </w:tcPr>
          <w:p w14:paraId="209CA432" w14:textId="0E679BCE"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0" w:type="auto"/>
            <w:vAlign w:val="center"/>
          </w:tcPr>
          <w:p w14:paraId="3453E230" w14:textId="628BD54D"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0.3%</w:t>
            </w:r>
          </w:p>
        </w:tc>
        <w:tc>
          <w:tcPr>
            <w:tcW w:w="0" w:type="auto"/>
            <w:vAlign w:val="center"/>
          </w:tcPr>
          <w:p w14:paraId="111924FB" w14:textId="1E28F329"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1.5%</w:t>
            </w:r>
          </w:p>
        </w:tc>
        <w:tc>
          <w:tcPr>
            <w:tcW w:w="0" w:type="auto"/>
            <w:vAlign w:val="center"/>
          </w:tcPr>
          <w:p w14:paraId="0CAC66FC" w14:textId="7603F4FD"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p>
        </w:tc>
        <w:tc>
          <w:tcPr>
            <w:tcW w:w="0" w:type="auto"/>
            <w:vAlign w:val="center"/>
          </w:tcPr>
          <w:p w14:paraId="4CF7950F" w14:textId="7DA33E56"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w:t>
            </w:r>
          </w:p>
        </w:tc>
        <w:tc>
          <w:tcPr>
            <w:tcW w:w="0" w:type="auto"/>
            <w:vAlign w:val="center"/>
          </w:tcPr>
          <w:p w14:paraId="511E2D2D" w14:textId="0332AAD0"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p>
        </w:tc>
        <w:tc>
          <w:tcPr>
            <w:tcW w:w="0" w:type="auto"/>
            <w:vAlign w:val="center"/>
          </w:tcPr>
          <w:p w14:paraId="0DB7F131" w14:textId="7FC81EB2"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p>
        </w:tc>
        <w:tc>
          <w:tcPr>
            <w:tcW w:w="0" w:type="auto"/>
            <w:shd w:val="clear" w:color="auto" w:fill="70AD47" w:themeFill="accent6"/>
            <w:vAlign w:val="center"/>
          </w:tcPr>
          <w:p w14:paraId="64AC901C" w14:textId="3A8ED30A" w:rsidR="00BA7DC7" w:rsidRDefault="00BA7DC7" w:rsidP="00BA7DC7">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Pr>
                <w:b/>
                <w:bCs/>
                <w:color w:val="FFFFFF" w:themeColor="background1"/>
                <w:sz w:val="18"/>
                <w:szCs w:val="18"/>
              </w:rPr>
              <w:t>27.8%</w:t>
            </w:r>
          </w:p>
        </w:tc>
      </w:tr>
      <w:tr w:rsidR="00BA7DC7" w14:paraId="61EAE106"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66AC8E" w14:textId="77777777" w:rsidR="00BA7DC7" w:rsidRPr="001402BF" w:rsidRDefault="00BA7DC7" w:rsidP="00BA7DC7">
            <w:pPr>
              <w:tabs>
                <w:tab w:val="left" w:pos="1014"/>
              </w:tabs>
              <w:jc w:val="center"/>
              <w:rPr>
                <w:sz w:val="18"/>
                <w:szCs w:val="18"/>
              </w:rPr>
            </w:pPr>
            <w:r w:rsidRPr="001402BF">
              <w:rPr>
                <w:sz w:val="18"/>
                <w:szCs w:val="18"/>
              </w:rPr>
              <w:t>GWV</w:t>
            </w:r>
          </w:p>
          <w:p w14:paraId="7947BAAB" w14:textId="6B8AA4E4" w:rsidR="00BA7DC7" w:rsidRPr="001402BF" w:rsidRDefault="00BA7DC7" w:rsidP="00BA7DC7">
            <w:pPr>
              <w:tabs>
                <w:tab w:val="left" w:pos="1014"/>
              </w:tabs>
              <w:jc w:val="center"/>
              <w:rPr>
                <w:sz w:val="18"/>
                <w:szCs w:val="18"/>
              </w:rPr>
            </w:pPr>
            <w:r w:rsidRPr="001402BF">
              <w:rPr>
                <w:sz w:val="18"/>
                <w:szCs w:val="18"/>
              </w:rPr>
              <w:t>FY</w:t>
            </w:r>
            <w:r>
              <w:rPr>
                <w:sz w:val="18"/>
                <w:szCs w:val="18"/>
              </w:rPr>
              <w:t>2</w:t>
            </w:r>
            <w:r w:rsidR="005D4F36">
              <w:rPr>
                <w:sz w:val="18"/>
                <w:szCs w:val="18"/>
              </w:rPr>
              <w:t>2</w:t>
            </w:r>
          </w:p>
        </w:tc>
        <w:tc>
          <w:tcPr>
            <w:tcW w:w="0" w:type="auto"/>
            <w:vAlign w:val="center"/>
          </w:tcPr>
          <w:p w14:paraId="4FD13146" w14:textId="47486173"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p>
        </w:tc>
        <w:tc>
          <w:tcPr>
            <w:tcW w:w="0" w:type="auto"/>
            <w:vAlign w:val="center"/>
          </w:tcPr>
          <w:p w14:paraId="275C2DB6" w14:textId="1B88BA17" w:rsidR="00BA7DC7" w:rsidRDefault="00BA7DC7"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w:t>
            </w:r>
          </w:p>
        </w:tc>
        <w:tc>
          <w:tcPr>
            <w:tcW w:w="0" w:type="auto"/>
            <w:vAlign w:val="center"/>
          </w:tcPr>
          <w:p w14:paraId="16526C72" w14:textId="40098F19" w:rsidR="00BA7DC7" w:rsidRDefault="00E31580"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w:t>
            </w:r>
            <w:r w:rsidR="00BA7DC7">
              <w:rPr>
                <w:sz w:val="16"/>
                <w:szCs w:val="16"/>
              </w:rPr>
              <w:t>%</w:t>
            </w:r>
          </w:p>
        </w:tc>
        <w:tc>
          <w:tcPr>
            <w:tcW w:w="0" w:type="auto"/>
            <w:vAlign w:val="center"/>
          </w:tcPr>
          <w:p w14:paraId="73171645" w14:textId="477F7E1F"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4.6%</w:t>
            </w:r>
          </w:p>
        </w:tc>
        <w:tc>
          <w:tcPr>
            <w:tcW w:w="0" w:type="auto"/>
            <w:vAlign w:val="center"/>
          </w:tcPr>
          <w:p w14:paraId="57BE527F" w14:textId="448E977C"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(0.7%)</w:t>
            </w:r>
          </w:p>
        </w:tc>
        <w:tc>
          <w:tcPr>
            <w:tcW w:w="0" w:type="auto"/>
            <w:vAlign w:val="center"/>
          </w:tcPr>
          <w:p w14:paraId="3B6FAEAC" w14:textId="50817805"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w:t>
            </w:r>
          </w:p>
        </w:tc>
        <w:tc>
          <w:tcPr>
            <w:tcW w:w="0" w:type="auto"/>
            <w:vAlign w:val="center"/>
          </w:tcPr>
          <w:p w14:paraId="468CE2D6" w14:textId="1684DEFA"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w:t>
            </w:r>
          </w:p>
        </w:tc>
        <w:tc>
          <w:tcPr>
            <w:tcW w:w="0" w:type="auto"/>
            <w:vAlign w:val="center"/>
          </w:tcPr>
          <w:p w14:paraId="25E70A3B" w14:textId="2AC75CF9"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(0.6%)</w:t>
            </w:r>
          </w:p>
        </w:tc>
        <w:tc>
          <w:tcPr>
            <w:tcW w:w="0" w:type="auto"/>
            <w:vAlign w:val="center"/>
          </w:tcPr>
          <w:p w14:paraId="2B802EC9" w14:textId="27987D35" w:rsidR="00BA7DC7" w:rsidRDefault="005D4F36"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w:t>
            </w:r>
          </w:p>
        </w:tc>
        <w:tc>
          <w:tcPr>
            <w:tcW w:w="0" w:type="auto"/>
            <w:vAlign w:val="center"/>
          </w:tcPr>
          <w:p w14:paraId="6F8F9515" w14:textId="2675E50C" w:rsidR="00BA7DC7" w:rsidRDefault="00F54CEC"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w:t>
            </w:r>
          </w:p>
        </w:tc>
        <w:tc>
          <w:tcPr>
            <w:tcW w:w="0" w:type="auto"/>
            <w:vAlign w:val="center"/>
          </w:tcPr>
          <w:p w14:paraId="72572C14" w14:textId="3C43CF1C" w:rsidR="00BA7DC7" w:rsidRDefault="00F54CEC"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(5.9%)</w:t>
            </w:r>
          </w:p>
        </w:tc>
        <w:tc>
          <w:tcPr>
            <w:tcW w:w="0" w:type="auto"/>
            <w:vAlign w:val="center"/>
          </w:tcPr>
          <w:p w14:paraId="1542F95F" w14:textId="7EBC9994" w:rsidR="00BA7DC7" w:rsidRDefault="00F54CEC"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w:t>
            </w:r>
          </w:p>
        </w:tc>
        <w:tc>
          <w:tcPr>
            <w:tcW w:w="0" w:type="auto"/>
            <w:shd w:val="clear" w:color="auto" w:fill="70AD47" w:themeFill="accent6"/>
            <w:vAlign w:val="center"/>
          </w:tcPr>
          <w:p w14:paraId="45657FF6" w14:textId="691D432C" w:rsidR="00BA7DC7" w:rsidRDefault="00F54CEC" w:rsidP="00BA7DC7">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0.0</w:t>
            </w:r>
            <w:r w:rsidR="00BA7DC7">
              <w:rPr>
                <w:b/>
                <w:bCs/>
                <w:color w:val="FFFFFF" w:themeColor="background1"/>
                <w:sz w:val="18"/>
                <w:szCs w:val="18"/>
              </w:rPr>
              <w:t>%</w:t>
            </w:r>
          </w:p>
        </w:tc>
      </w:tr>
      <w:tr w:rsidR="00BA7DC7" w14:paraId="38E83F90"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1A95121A" w14:textId="77777777" w:rsidR="00BA7DC7" w:rsidRPr="001402BF" w:rsidRDefault="00BA7DC7" w:rsidP="00BA7DC7">
            <w:pPr>
              <w:tabs>
                <w:tab w:val="left" w:pos="1014"/>
              </w:tabs>
              <w:jc w:val="center"/>
              <w:rPr>
                <w:sz w:val="18"/>
                <w:szCs w:val="18"/>
              </w:rPr>
            </w:pPr>
            <w:r w:rsidRPr="001402BF">
              <w:rPr>
                <w:sz w:val="18"/>
                <w:szCs w:val="18"/>
              </w:rPr>
              <w:t>XJOA</w:t>
            </w:r>
          </w:p>
          <w:p w14:paraId="4B3DB7AE" w14:textId="1FF7C4E2" w:rsidR="00BA7DC7" w:rsidRPr="001402BF" w:rsidRDefault="00BA7DC7" w:rsidP="00BA7DC7">
            <w:pPr>
              <w:tabs>
                <w:tab w:val="left" w:pos="1014"/>
              </w:tabs>
              <w:jc w:val="center"/>
              <w:rPr>
                <w:sz w:val="18"/>
                <w:szCs w:val="18"/>
              </w:rPr>
            </w:pPr>
            <w:r w:rsidRPr="001402BF">
              <w:rPr>
                <w:sz w:val="18"/>
                <w:szCs w:val="18"/>
              </w:rPr>
              <w:t>FY</w:t>
            </w:r>
            <w:r>
              <w:rPr>
                <w:sz w:val="18"/>
                <w:szCs w:val="18"/>
              </w:rPr>
              <w:t>2</w:t>
            </w:r>
            <w:r w:rsidR="005D4F36">
              <w:rPr>
                <w:sz w:val="18"/>
                <w:szCs w:val="18"/>
              </w:rPr>
              <w:t>2</w:t>
            </w:r>
          </w:p>
        </w:tc>
        <w:tc>
          <w:tcPr>
            <w:tcW w:w="0" w:type="auto"/>
            <w:vAlign w:val="center"/>
          </w:tcPr>
          <w:p w14:paraId="19BC6ECC" w14:textId="30E45823"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p>
        </w:tc>
        <w:tc>
          <w:tcPr>
            <w:tcW w:w="0" w:type="auto"/>
            <w:vAlign w:val="center"/>
          </w:tcPr>
          <w:p w14:paraId="6CF340C1" w14:textId="3CD433CE"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c>
          <w:tcPr>
            <w:tcW w:w="0" w:type="auto"/>
            <w:vAlign w:val="center"/>
          </w:tcPr>
          <w:p w14:paraId="4B08123D" w14:textId="5D3EEF8F" w:rsidR="00BA7DC7" w:rsidRDefault="00BA7DC7"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2F73EB">
              <w:rPr>
                <w:sz w:val="16"/>
                <w:szCs w:val="16"/>
              </w:rPr>
              <w:t>1.9</w:t>
            </w:r>
            <w:r>
              <w:rPr>
                <w:sz w:val="16"/>
                <w:szCs w:val="16"/>
              </w:rPr>
              <w:t>%)</w:t>
            </w:r>
          </w:p>
        </w:tc>
        <w:tc>
          <w:tcPr>
            <w:tcW w:w="0" w:type="auto"/>
            <w:vAlign w:val="center"/>
          </w:tcPr>
          <w:p w14:paraId="0FB09E2E" w14:textId="33E62C1D"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w:t>
            </w:r>
          </w:p>
        </w:tc>
        <w:tc>
          <w:tcPr>
            <w:tcW w:w="0" w:type="auto"/>
            <w:vAlign w:val="center"/>
          </w:tcPr>
          <w:p w14:paraId="05B11365" w14:textId="2DDF43E1"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(0.5%)</w:t>
            </w:r>
          </w:p>
        </w:tc>
        <w:tc>
          <w:tcPr>
            <w:tcW w:w="0" w:type="auto"/>
            <w:vAlign w:val="center"/>
          </w:tcPr>
          <w:p w14:paraId="7541C482" w14:textId="7F3EEA73"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w:t>
            </w:r>
          </w:p>
        </w:tc>
        <w:tc>
          <w:tcPr>
            <w:tcW w:w="0" w:type="auto"/>
            <w:vAlign w:val="center"/>
          </w:tcPr>
          <w:p w14:paraId="771C9F9E" w14:textId="7CDA3EA9"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(6.4%)</w:t>
            </w:r>
          </w:p>
        </w:tc>
        <w:tc>
          <w:tcPr>
            <w:tcW w:w="0" w:type="auto"/>
            <w:vAlign w:val="center"/>
          </w:tcPr>
          <w:p w14:paraId="20245BEC" w14:textId="1E24622A"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2.1%</w:t>
            </w:r>
          </w:p>
        </w:tc>
        <w:tc>
          <w:tcPr>
            <w:tcW w:w="0" w:type="auto"/>
            <w:vAlign w:val="center"/>
          </w:tcPr>
          <w:p w14:paraId="2DE73963" w14:textId="5048C423" w:rsidR="00BA7DC7" w:rsidRDefault="005D4F36"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6.9%</w:t>
            </w:r>
          </w:p>
        </w:tc>
        <w:tc>
          <w:tcPr>
            <w:tcW w:w="0" w:type="auto"/>
            <w:vAlign w:val="center"/>
          </w:tcPr>
          <w:p w14:paraId="1A915DD7" w14:textId="7B765DB2" w:rsidR="00BA7DC7" w:rsidRDefault="00F54CEC"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w:t>
            </w:r>
          </w:p>
        </w:tc>
        <w:tc>
          <w:tcPr>
            <w:tcW w:w="0" w:type="auto"/>
            <w:vAlign w:val="center"/>
          </w:tcPr>
          <w:p w14:paraId="55C9B089" w14:textId="71FD27CB" w:rsidR="00BA7DC7" w:rsidRDefault="00F54CEC"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(2.6%)</w:t>
            </w:r>
          </w:p>
        </w:tc>
        <w:tc>
          <w:tcPr>
            <w:tcW w:w="0" w:type="auto"/>
            <w:vAlign w:val="center"/>
          </w:tcPr>
          <w:p w14:paraId="358650C9" w14:textId="2A11255B" w:rsidR="00BA7DC7" w:rsidRDefault="00F54CEC"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(8.8%)</w:t>
            </w:r>
          </w:p>
        </w:tc>
        <w:tc>
          <w:tcPr>
            <w:tcW w:w="0" w:type="auto"/>
            <w:shd w:val="clear" w:color="auto" w:fill="70AD47" w:themeFill="accent6"/>
            <w:vAlign w:val="center"/>
          </w:tcPr>
          <w:p w14:paraId="7CD600C3" w14:textId="03919066" w:rsidR="00BA7DC7" w:rsidRDefault="00F54CEC" w:rsidP="00BA7DC7">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Pr>
                <w:b/>
                <w:bCs/>
                <w:color w:val="FFFFFF" w:themeColor="background1"/>
                <w:sz w:val="18"/>
                <w:szCs w:val="18"/>
              </w:rPr>
              <w:t>(6.5%)</w:t>
            </w:r>
          </w:p>
        </w:tc>
      </w:tr>
      <w:tr w:rsidR="00362AAA" w14:paraId="5EEE27DF"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D17EE9" w14:textId="77777777" w:rsidR="00362AAA" w:rsidRDefault="00362AAA" w:rsidP="00BA7DC7">
            <w:pPr>
              <w:tabs>
                <w:tab w:val="left" w:pos="1014"/>
              </w:tabs>
              <w:jc w:val="center"/>
              <w:rPr>
                <w:b w:val="0"/>
                <w:bCs w:val="0"/>
                <w:sz w:val="18"/>
                <w:szCs w:val="18"/>
              </w:rPr>
            </w:pPr>
            <w:r>
              <w:rPr>
                <w:sz w:val="18"/>
                <w:szCs w:val="18"/>
              </w:rPr>
              <w:t>GWV</w:t>
            </w:r>
          </w:p>
          <w:p w14:paraId="724FC165" w14:textId="0B8D9B84" w:rsidR="00362AAA" w:rsidRPr="001402BF" w:rsidRDefault="00362AAA" w:rsidP="00BA7DC7">
            <w:pPr>
              <w:tabs>
                <w:tab w:val="left" w:pos="1014"/>
              </w:tabs>
              <w:jc w:val="center"/>
              <w:rPr>
                <w:sz w:val="18"/>
                <w:szCs w:val="18"/>
              </w:rPr>
            </w:pPr>
            <w:r>
              <w:rPr>
                <w:sz w:val="18"/>
                <w:szCs w:val="18"/>
              </w:rPr>
              <w:t>FY23</w:t>
            </w:r>
          </w:p>
        </w:tc>
        <w:tc>
          <w:tcPr>
            <w:tcW w:w="0" w:type="auto"/>
            <w:vAlign w:val="center"/>
          </w:tcPr>
          <w:p w14:paraId="78BB29B6" w14:textId="6868484B" w:rsidR="00362AAA" w:rsidRDefault="00B376C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11.1%</w:t>
            </w:r>
          </w:p>
        </w:tc>
        <w:tc>
          <w:tcPr>
            <w:tcW w:w="0" w:type="auto"/>
            <w:vAlign w:val="center"/>
          </w:tcPr>
          <w:p w14:paraId="3F3C2C38" w14:textId="1CB5B828" w:rsidR="00362AAA" w:rsidRDefault="00B376C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w:t>
            </w:r>
          </w:p>
        </w:tc>
        <w:tc>
          <w:tcPr>
            <w:tcW w:w="0" w:type="auto"/>
            <w:vAlign w:val="center"/>
          </w:tcPr>
          <w:p w14:paraId="027938FD" w14:textId="2F24B116" w:rsidR="00362AAA" w:rsidRPr="00B376CF" w:rsidRDefault="00B376C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5"/>
                <w:szCs w:val="15"/>
              </w:rPr>
            </w:pPr>
            <w:r w:rsidRPr="00B376CF">
              <w:rPr>
                <w:sz w:val="15"/>
                <w:szCs w:val="15"/>
              </w:rPr>
              <w:t>(11.</w:t>
            </w:r>
            <w:r w:rsidR="00540E19">
              <w:rPr>
                <w:sz w:val="15"/>
                <w:szCs w:val="15"/>
              </w:rPr>
              <w:t>4</w:t>
            </w:r>
            <w:r w:rsidRPr="00B376CF">
              <w:rPr>
                <w:sz w:val="15"/>
                <w:szCs w:val="15"/>
              </w:rPr>
              <w:t>%)</w:t>
            </w:r>
          </w:p>
        </w:tc>
        <w:tc>
          <w:tcPr>
            <w:tcW w:w="0" w:type="auto"/>
            <w:vAlign w:val="center"/>
          </w:tcPr>
          <w:p w14:paraId="7F8BF0D0" w14:textId="0FF692D4"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8.4%</w:t>
            </w:r>
          </w:p>
        </w:tc>
        <w:tc>
          <w:tcPr>
            <w:tcW w:w="0" w:type="auto"/>
            <w:vAlign w:val="center"/>
          </w:tcPr>
          <w:p w14:paraId="36A25087" w14:textId="1E5A20B5"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w:t>
            </w:r>
          </w:p>
        </w:tc>
        <w:tc>
          <w:tcPr>
            <w:tcW w:w="0" w:type="auto"/>
            <w:vAlign w:val="center"/>
          </w:tcPr>
          <w:p w14:paraId="0BF82A48" w14:textId="41895832"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(2.9%)</w:t>
            </w:r>
          </w:p>
        </w:tc>
        <w:tc>
          <w:tcPr>
            <w:tcW w:w="0" w:type="auto"/>
            <w:vAlign w:val="center"/>
          </w:tcPr>
          <w:p w14:paraId="4A7ABA76" w14:textId="7FD812C0"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7.9%</w:t>
            </w:r>
          </w:p>
        </w:tc>
        <w:tc>
          <w:tcPr>
            <w:tcW w:w="0" w:type="auto"/>
            <w:vAlign w:val="center"/>
          </w:tcPr>
          <w:p w14:paraId="61502472" w14:textId="24D9011D"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(6.2%)</w:t>
            </w:r>
          </w:p>
        </w:tc>
        <w:tc>
          <w:tcPr>
            <w:tcW w:w="0" w:type="auto"/>
            <w:vAlign w:val="center"/>
          </w:tcPr>
          <w:p w14:paraId="5A93129D" w14:textId="52AC8BA1" w:rsidR="00362AAA" w:rsidRDefault="008C7D9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FF7EDF">
              <w:rPr>
                <w:sz w:val="16"/>
                <w:szCs w:val="16"/>
              </w:rPr>
              <w:t>9</w:t>
            </w:r>
            <w:r>
              <w:rPr>
                <w:sz w:val="16"/>
                <w:szCs w:val="16"/>
              </w:rPr>
              <w:t>%</w:t>
            </w:r>
          </w:p>
        </w:tc>
        <w:tc>
          <w:tcPr>
            <w:tcW w:w="0" w:type="auto"/>
            <w:vAlign w:val="center"/>
          </w:tcPr>
          <w:p w14:paraId="573DEBC6" w14:textId="1D83D0B2" w:rsidR="00362AAA" w:rsidRDefault="00FF7EDF" w:rsidP="00FF7EDF">
            <w:pPr>
              <w:tabs>
                <w:tab w:val="left" w:pos="1014"/>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4.4%</w:t>
            </w:r>
          </w:p>
        </w:tc>
        <w:tc>
          <w:tcPr>
            <w:tcW w:w="0" w:type="auto"/>
            <w:vAlign w:val="center"/>
          </w:tcPr>
          <w:p w14:paraId="7D8AE37E" w14:textId="3D87FEF0" w:rsidR="00362AAA" w:rsidRDefault="00FF7EDF" w:rsidP="00FF7EDF">
            <w:pPr>
              <w:tabs>
                <w:tab w:val="left" w:pos="1014"/>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w:t>
            </w:r>
          </w:p>
        </w:tc>
        <w:tc>
          <w:tcPr>
            <w:tcW w:w="0" w:type="auto"/>
            <w:vAlign w:val="center"/>
          </w:tcPr>
          <w:p w14:paraId="54464D70" w14:textId="60D480BF" w:rsidR="00362AAA"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0.4%</w:t>
            </w:r>
          </w:p>
        </w:tc>
        <w:tc>
          <w:tcPr>
            <w:tcW w:w="0" w:type="auto"/>
            <w:shd w:val="clear" w:color="auto" w:fill="70AD47" w:themeFill="accent6"/>
            <w:vAlign w:val="center"/>
          </w:tcPr>
          <w:p w14:paraId="2815947C" w14:textId="7369F877" w:rsidR="00362AAA" w:rsidRDefault="008C7D9F" w:rsidP="00BA7DC7">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1</w:t>
            </w:r>
            <w:r w:rsidR="00FF7EDF">
              <w:rPr>
                <w:b/>
                <w:bCs/>
                <w:color w:val="FFFFFF" w:themeColor="background1"/>
                <w:sz w:val="18"/>
                <w:szCs w:val="18"/>
              </w:rPr>
              <w:t>7.9</w:t>
            </w:r>
            <w:r w:rsidR="00B376CF">
              <w:rPr>
                <w:b/>
                <w:bCs/>
                <w:color w:val="FFFFFF" w:themeColor="background1"/>
                <w:sz w:val="18"/>
                <w:szCs w:val="18"/>
              </w:rPr>
              <w:t>%</w:t>
            </w:r>
          </w:p>
        </w:tc>
      </w:tr>
      <w:tr w:rsidR="00362AAA" w14:paraId="25E12F73"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33D6B811" w14:textId="77777777" w:rsidR="00FF7EDF" w:rsidRDefault="00FF7EDF" w:rsidP="00FF7EDF">
            <w:pPr>
              <w:tabs>
                <w:tab w:val="left" w:pos="1014"/>
              </w:tabs>
              <w:jc w:val="center"/>
              <w:rPr>
                <w:b w:val="0"/>
                <w:bCs w:val="0"/>
                <w:sz w:val="18"/>
                <w:szCs w:val="18"/>
              </w:rPr>
            </w:pPr>
            <w:r>
              <w:rPr>
                <w:sz w:val="18"/>
                <w:szCs w:val="18"/>
              </w:rPr>
              <w:t>XJOA</w:t>
            </w:r>
          </w:p>
          <w:p w14:paraId="717C7325" w14:textId="4F6033AD" w:rsidR="00362AAA" w:rsidRPr="001402BF" w:rsidRDefault="00FF7EDF" w:rsidP="00FF7EDF">
            <w:pPr>
              <w:tabs>
                <w:tab w:val="left" w:pos="1014"/>
              </w:tabs>
              <w:jc w:val="center"/>
              <w:rPr>
                <w:sz w:val="18"/>
                <w:szCs w:val="18"/>
              </w:rPr>
            </w:pPr>
            <w:r>
              <w:rPr>
                <w:sz w:val="18"/>
                <w:szCs w:val="18"/>
              </w:rPr>
              <w:t>FY23</w:t>
            </w:r>
          </w:p>
        </w:tc>
        <w:tc>
          <w:tcPr>
            <w:tcW w:w="0" w:type="auto"/>
            <w:vAlign w:val="center"/>
          </w:tcPr>
          <w:p w14:paraId="4E5A4A2D" w14:textId="58922F80" w:rsidR="00362AAA" w:rsidRDefault="00B376C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5.8%</w:t>
            </w:r>
          </w:p>
        </w:tc>
        <w:tc>
          <w:tcPr>
            <w:tcW w:w="0" w:type="auto"/>
            <w:vAlign w:val="center"/>
          </w:tcPr>
          <w:p w14:paraId="78DC8460" w14:textId="326C48CC" w:rsidR="00362AAA" w:rsidRDefault="00B376C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1.2%</w:t>
            </w:r>
          </w:p>
        </w:tc>
        <w:tc>
          <w:tcPr>
            <w:tcW w:w="0" w:type="auto"/>
            <w:vAlign w:val="center"/>
          </w:tcPr>
          <w:p w14:paraId="3ECF4385" w14:textId="1FA575A3" w:rsidR="00362AAA" w:rsidRDefault="00B376C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w:t>
            </w:r>
          </w:p>
        </w:tc>
        <w:tc>
          <w:tcPr>
            <w:tcW w:w="0" w:type="auto"/>
            <w:vAlign w:val="center"/>
          </w:tcPr>
          <w:p w14:paraId="305E2DD8" w14:textId="3B57E697"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w:t>
            </w:r>
          </w:p>
        </w:tc>
        <w:tc>
          <w:tcPr>
            <w:tcW w:w="0" w:type="auto"/>
            <w:vAlign w:val="center"/>
          </w:tcPr>
          <w:p w14:paraId="281179DB" w14:textId="7062A636"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6.6%</w:t>
            </w:r>
          </w:p>
        </w:tc>
        <w:tc>
          <w:tcPr>
            <w:tcW w:w="0" w:type="auto"/>
            <w:vAlign w:val="center"/>
          </w:tcPr>
          <w:p w14:paraId="417C9DDA" w14:textId="40399BB0"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w:t>
            </w:r>
          </w:p>
        </w:tc>
        <w:tc>
          <w:tcPr>
            <w:tcW w:w="0" w:type="auto"/>
            <w:vAlign w:val="center"/>
          </w:tcPr>
          <w:p w14:paraId="64C07F1F" w14:textId="47294D9B"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6.2%</w:t>
            </w:r>
          </w:p>
        </w:tc>
        <w:tc>
          <w:tcPr>
            <w:tcW w:w="0" w:type="auto"/>
            <w:vAlign w:val="center"/>
          </w:tcPr>
          <w:p w14:paraId="47D9BAAD" w14:textId="72EBC8E4"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c>
          <w:tcPr>
            <w:tcW w:w="0" w:type="auto"/>
            <w:vAlign w:val="center"/>
          </w:tcPr>
          <w:p w14:paraId="06DB66B4" w14:textId="0EB147E5" w:rsidR="00362AAA" w:rsidRDefault="008C7D9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(0.2%)</w:t>
            </w:r>
          </w:p>
        </w:tc>
        <w:tc>
          <w:tcPr>
            <w:tcW w:w="0" w:type="auto"/>
            <w:vAlign w:val="center"/>
          </w:tcPr>
          <w:p w14:paraId="29FFB16D" w14:textId="7ED2B489" w:rsidR="00362AAA"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1.9%</w:t>
            </w:r>
          </w:p>
        </w:tc>
        <w:tc>
          <w:tcPr>
            <w:tcW w:w="0" w:type="auto"/>
            <w:vAlign w:val="center"/>
          </w:tcPr>
          <w:p w14:paraId="5146789D" w14:textId="2405D9A3" w:rsidR="00362AAA"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c>
          <w:tcPr>
            <w:tcW w:w="0" w:type="auto"/>
            <w:vAlign w:val="center"/>
          </w:tcPr>
          <w:p w14:paraId="178E0CF5" w14:textId="6DDFDEBB" w:rsidR="00362AAA"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1.8%</w:t>
            </w:r>
          </w:p>
        </w:tc>
        <w:tc>
          <w:tcPr>
            <w:tcW w:w="0" w:type="auto"/>
            <w:shd w:val="clear" w:color="auto" w:fill="70AD47" w:themeFill="accent6"/>
            <w:vAlign w:val="center"/>
          </w:tcPr>
          <w:p w14:paraId="3F93D863" w14:textId="65BC8517" w:rsidR="00362AAA" w:rsidRDefault="00FF7EDF" w:rsidP="00BA7DC7">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Pr>
                <w:b/>
                <w:bCs/>
                <w:color w:val="FFFFFF" w:themeColor="background1"/>
                <w:sz w:val="18"/>
                <w:szCs w:val="18"/>
              </w:rPr>
              <w:t>14.8</w:t>
            </w:r>
            <w:r w:rsidR="00B376CF">
              <w:rPr>
                <w:b/>
                <w:bCs/>
                <w:color w:val="FFFFFF" w:themeColor="background1"/>
                <w:sz w:val="18"/>
                <w:szCs w:val="18"/>
              </w:rPr>
              <w:t>%</w:t>
            </w:r>
          </w:p>
        </w:tc>
      </w:tr>
      <w:tr w:rsidR="00FF7EDF" w14:paraId="3AF33DDB" w14:textId="77777777" w:rsidTr="00BC5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D964AE" w14:textId="77777777" w:rsidR="00FF7EDF" w:rsidRDefault="00FF7EDF" w:rsidP="00FF7EDF">
            <w:pPr>
              <w:tabs>
                <w:tab w:val="left" w:pos="1014"/>
              </w:tabs>
              <w:jc w:val="center"/>
              <w:rPr>
                <w:b w:val="0"/>
                <w:bCs w:val="0"/>
                <w:sz w:val="18"/>
                <w:szCs w:val="18"/>
              </w:rPr>
            </w:pPr>
            <w:r>
              <w:rPr>
                <w:sz w:val="18"/>
                <w:szCs w:val="18"/>
              </w:rPr>
              <w:t>GWV</w:t>
            </w:r>
          </w:p>
          <w:p w14:paraId="3320E656" w14:textId="02F843AD" w:rsidR="00FF7EDF" w:rsidRDefault="00FF7EDF" w:rsidP="00FF7EDF">
            <w:pPr>
              <w:tabs>
                <w:tab w:val="left" w:pos="1014"/>
              </w:tabs>
              <w:jc w:val="center"/>
              <w:rPr>
                <w:sz w:val="18"/>
                <w:szCs w:val="18"/>
              </w:rPr>
            </w:pPr>
            <w:r>
              <w:rPr>
                <w:sz w:val="18"/>
                <w:szCs w:val="18"/>
              </w:rPr>
              <w:t>FY23</w:t>
            </w:r>
          </w:p>
        </w:tc>
        <w:tc>
          <w:tcPr>
            <w:tcW w:w="0" w:type="auto"/>
            <w:vAlign w:val="center"/>
          </w:tcPr>
          <w:p w14:paraId="10313189" w14:textId="74519E3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10.4%</w:t>
            </w:r>
          </w:p>
        </w:tc>
        <w:tc>
          <w:tcPr>
            <w:tcW w:w="0" w:type="auto"/>
            <w:vAlign w:val="center"/>
          </w:tcPr>
          <w:p w14:paraId="4A460267" w14:textId="39D0F095"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3.2%</w:t>
            </w:r>
          </w:p>
        </w:tc>
        <w:tc>
          <w:tcPr>
            <w:tcW w:w="0" w:type="auto"/>
            <w:vAlign w:val="center"/>
          </w:tcPr>
          <w:p w14:paraId="7AD6F4A5" w14:textId="4A603063"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(6.2%)</w:t>
            </w:r>
          </w:p>
        </w:tc>
        <w:tc>
          <w:tcPr>
            <w:tcW w:w="0" w:type="auto"/>
            <w:vAlign w:val="center"/>
          </w:tcPr>
          <w:p w14:paraId="237445DE" w14:textId="0417A1F9" w:rsidR="00FF7EDF" w:rsidRDefault="00671021"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w:t>
            </w:r>
          </w:p>
        </w:tc>
        <w:tc>
          <w:tcPr>
            <w:tcW w:w="0" w:type="auto"/>
            <w:vAlign w:val="center"/>
          </w:tcPr>
          <w:p w14:paraId="3EA92D17" w14:textId="01D05A52" w:rsidR="00FF7EDF" w:rsidRDefault="00671021"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w:t>
            </w:r>
          </w:p>
        </w:tc>
        <w:tc>
          <w:tcPr>
            <w:tcW w:w="0" w:type="auto"/>
            <w:vAlign w:val="center"/>
          </w:tcPr>
          <w:p w14:paraId="7B33A438" w14:textId="5A5B1877" w:rsidR="00FF7EDF" w:rsidRDefault="00671021"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9.1%</w:t>
            </w:r>
          </w:p>
        </w:tc>
        <w:tc>
          <w:tcPr>
            <w:tcW w:w="0" w:type="auto"/>
            <w:vAlign w:val="center"/>
          </w:tcPr>
          <w:p w14:paraId="072FE285"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5311CAA1"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6C9752CF"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0450C49E"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299386CA"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vAlign w:val="center"/>
          </w:tcPr>
          <w:p w14:paraId="1BA6BF5D" w14:textId="77777777" w:rsidR="00FF7EDF" w:rsidRDefault="00FF7EDF" w:rsidP="00BA7DC7">
            <w:pPr>
              <w:tabs>
                <w:tab w:val="left" w:pos="1014"/>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shd w:val="clear" w:color="auto" w:fill="70AD47" w:themeFill="accent6"/>
            <w:vAlign w:val="center"/>
          </w:tcPr>
          <w:p w14:paraId="67080D4D" w14:textId="1F565FB6" w:rsidR="00FF7EDF" w:rsidRDefault="00671021" w:rsidP="00BA7DC7">
            <w:pPr>
              <w:tabs>
                <w:tab w:val="left" w:pos="1014"/>
              </w:tabs>
              <w:jc w:val="right"/>
              <w:cnfStyle w:val="000000100000" w:firstRow="0" w:lastRow="0" w:firstColumn="0" w:lastColumn="0" w:oddVBand="0" w:evenVBand="0" w:oddHBand="1" w:evenHBand="0" w:firstRowFirstColumn="0" w:firstRowLastColumn="0" w:lastRowFirstColumn="0" w:lastRowLastColumn="0"/>
              <w:rPr>
                <w:b/>
                <w:bCs/>
                <w:color w:val="FFFFFF" w:themeColor="background1"/>
                <w:sz w:val="18"/>
                <w:szCs w:val="18"/>
              </w:rPr>
            </w:pPr>
            <w:r>
              <w:rPr>
                <w:b/>
                <w:bCs/>
                <w:color w:val="FFFFFF" w:themeColor="background1"/>
                <w:sz w:val="18"/>
                <w:szCs w:val="18"/>
              </w:rPr>
              <w:t>17.5</w:t>
            </w:r>
            <w:r w:rsidR="00FF7EDF">
              <w:rPr>
                <w:b/>
                <w:bCs/>
                <w:color w:val="FFFFFF" w:themeColor="background1"/>
                <w:sz w:val="18"/>
                <w:szCs w:val="18"/>
              </w:rPr>
              <w:t>%</w:t>
            </w:r>
          </w:p>
        </w:tc>
      </w:tr>
      <w:tr w:rsidR="00FF7EDF" w14:paraId="1A05FBE9" w14:textId="77777777" w:rsidTr="00BC52E3">
        <w:tc>
          <w:tcPr>
            <w:cnfStyle w:val="001000000000" w:firstRow="0" w:lastRow="0" w:firstColumn="1" w:lastColumn="0" w:oddVBand="0" w:evenVBand="0" w:oddHBand="0" w:evenHBand="0" w:firstRowFirstColumn="0" w:firstRowLastColumn="0" w:lastRowFirstColumn="0" w:lastRowLastColumn="0"/>
            <w:tcW w:w="0" w:type="auto"/>
            <w:vAlign w:val="center"/>
          </w:tcPr>
          <w:p w14:paraId="19AA55B3" w14:textId="77777777" w:rsidR="00FF7EDF" w:rsidRDefault="00FF7EDF" w:rsidP="00FF7EDF">
            <w:pPr>
              <w:tabs>
                <w:tab w:val="left" w:pos="1014"/>
              </w:tabs>
              <w:jc w:val="center"/>
              <w:rPr>
                <w:b w:val="0"/>
                <w:bCs w:val="0"/>
                <w:sz w:val="18"/>
                <w:szCs w:val="18"/>
              </w:rPr>
            </w:pPr>
            <w:r>
              <w:rPr>
                <w:sz w:val="18"/>
                <w:szCs w:val="18"/>
              </w:rPr>
              <w:t>XJOA</w:t>
            </w:r>
          </w:p>
          <w:p w14:paraId="697C4E99" w14:textId="36A6730B" w:rsidR="00FF7EDF" w:rsidRDefault="00FF7EDF" w:rsidP="00FF7EDF">
            <w:pPr>
              <w:tabs>
                <w:tab w:val="left" w:pos="1014"/>
              </w:tabs>
              <w:jc w:val="center"/>
              <w:rPr>
                <w:sz w:val="18"/>
                <w:szCs w:val="18"/>
              </w:rPr>
            </w:pPr>
            <w:r>
              <w:rPr>
                <w:sz w:val="18"/>
                <w:szCs w:val="18"/>
              </w:rPr>
              <w:t>FY23</w:t>
            </w:r>
          </w:p>
        </w:tc>
        <w:tc>
          <w:tcPr>
            <w:tcW w:w="0" w:type="auto"/>
            <w:vAlign w:val="center"/>
          </w:tcPr>
          <w:p w14:paraId="60E02F8D" w14:textId="5F9E36B8"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w:t>
            </w:r>
          </w:p>
        </w:tc>
        <w:tc>
          <w:tcPr>
            <w:tcW w:w="0" w:type="auto"/>
            <w:vAlign w:val="center"/>
          </w:tcPr>
          <w:p w14:paraId="138D2A9D" w14:textId="11F6D86C" w:rsidR="00FF7EDF" w:rsidRDefault="00AC38BA"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(0.7</w:t>
            </w:r>
            <w:r w:rsidR="00FF7EDF">
              <w:rPr>
                <w:sz w:val="16"/>
                <w:szCs w:val="16"/>
              </w:rPr>
              <w:t>%</w:t>
            </w:r>
            <w:r>
              <w:rPr>
                <w:sz w:val="16"/>
                <w:szCs w:val="16"/>
              </w:rPr>
              <w:t>)</w:t>
            </w:r>
          </w:p>
        </w:tc>
        <w:tc>
          <w:tcPr>
            <w:tcW w:w="0" w:type="auto"/>
            <w:vAlign w:val="center"/>
          </w:tcPr>
          <w:p w14:paraId="29A87C36" w14:textId="608DBE2E"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AC38BA">
              <w:rPr>
                <w:sz w:val="16"/>
                <w:szCs w:val="16"/>
              </w:rPr>
              <w:t>2</w:t>
            </w:r>
            <w:r>
              <w:rPr>
                <w:sz w:val="16"/>
                <w:szCs w:val="16"/>
              </w:rPr>
              <w:t>.8%)</w:t>
            </w:r>
          </w:p>
        </w:tc>
        <w:tc>
          <w:tcPr>
            <w:tcW w:w="0" w:type="auto"/>
            <w:vAlign w:val="center"/>
          </w:tcPr>
          <w:p w14:paraId="3FB1FFC8" w14:textId="40C76B0C" w:rsidR="00FF7EDF" w:rsidRDefault="00671021"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w:t>
            </w:r>
          </w:p>
        </w:tc>
        <w:tc>
          <w:tcPr>
            <w:tcW w:w="0" w:type="auto"/>
            <w:vAlign w:val="center"/>
          </w:tcPr>
          <w:p w14:paraId="2AAE5F2B" w14:textId="2478F5A7" w:rsidR="00FF7EDF" w:rsidRDefault="00671021"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tc>
        <w:tc>
          <w:tcPr>
            <w:tcW w:w="0" w:type="auto"/>
            <w:vAlign w:val="center"/>
          </w:tcPr>
          <w:p w14:paraId="7E85C158" w14:textId="4B8FC5BD" w:rsidR="00FF7EDF" w:rsidRDefault="00671021"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7.3%</w:t>
            </w:r>
          </w:p>
        </w:tc>
        <w:tc>
          <w:tcPr>
            <w:tcW w:w="0" w:type="auto"/>
            <w:vAlign w:val="center"/>
          </w:tcPr>
          <w:p w14:paraId="6C574D2B"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Align w:val="center"/>
          </w:tcPr>
          <w:p w14:paraId="6C3862BB"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Align w:val="center"/>
          </w:tcPr>
          <w:p w14:paraId="4A30805E"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Align w:val="center"/>
          </w:tcPr>
          <w:p w14:paraId="41B9674C"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Align w:val="center"/>
          </w:tcPr>
          <w:p w14:paraId="00BC9D97"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vAlign w:val="center"/>
          </w:tcPr>
          <w:p w14:paraId="5EF64833" w14:textId="77777777" w:rsidR="00FF7EDF" w:rsidRDefault="00FF7EDF" w:rsidP="00BA7DC7">
            <w:pPr>
              <w:tabs>
                <w:tab w:val="left" w:pos="1014"/>
              </w:tabs>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shd w:val="clear" w:color="auto" w:fill="70AD47" w:themeFill="accent6"/>
            <w:vAlign w:val="center"/>
          </w:tcPr>
          <w:p w14:paraId="293CBC06" w14:textId="4A7B5C3B" w:rsidR="00FF7EDF" w:rsidRDefault="00671021" w:rsidP="00BA7DC7">
            <w:pPr>
              <w:tabs>
                <w:tab w:val="left" w:pos="1014"/>
              </w:tabs>
              <w:jc w:val="right"/>
              <w:cnfStyle w:val="000000000000" w:firstRow="0" w:lastRow="0" w:firstColumn="0" w:lastColumn="0" w:oddVBand="0" w:evenVBand="0" w:oddHBand="0" w:evenHBand="0" w:firstRowFirstColumn="0" w:firstRowLastColumn="0" w:lastRowFirstColumn="0" w:lastRowLastColumn="0"/>
              <w:rPr>
                <w:b/>
                <w:bCs/>
                <w:color w:val="FFFFFF" w:themeColor="background1"/>
                <w:sz w:val="18"/>
                <w:szCs w:val="18"/>
              </w:rPr>
            </w:pPr>
            <w:r>
              <w:rPr>
                <w:b/>
                <w:bCs/>
                <w:color w:val="FFFFFF" w:themeColor="background1"/>
                <w:sz w:val="18"/>
                <w:szCs w:val="18"/>
              </w:rPr>
              <w:t>7.6</w:t>
            </w:r>
            <w:r w:rsidR="00AC38BA">
              <w:rPr>
                <w:b/>
                <w:bCs/>
                <w:color w:val="FFFFFF" w:themeColor="background1"/>
                <w:sz w:val="18"/>
                <w:szCs w:val="18"/>
              </w:rPr>
              <w:t>%</w:t>
            </w:r>
          </w:p>
        </w:tc>
      </w:tr>
    </w:tbl>
    <w:p w14:paraId="2EE989FB" w14:textId="77777777" w:rsidR="00E31580" w:rsidRDefault="00E31580" w:rsidP="00E5423B">
      <w:pPr>
        <w:tabs>
          <w:tab w:val="left" w:pos="1014"/>
        </w:tabs>
        <w:spacing w:before="240" w:after="0"/>
        <w:jc w:val="both"/>
        <w:rPr>
          <w:b/>
          <w:bCs/>
          <w:u w:val="single"/>
        </w:rPr>
      </w:pPr>
    </w:p>
    <w:p w14:paraId="7FAC3805" w14:textId="77F5E1EF" w:rsidR="00AD7595" w:rsidRDefault="009B08E1" w:rsidP="00E5423B">
      <w:pPr>
        <w:tabs>
          <w:tab w:val="left" w:pos="1014"/>
        </w:tabs>
        <w:spacing w:before="240" w:after="0"/>
        <w:jc w:val="both"/>
        <w:rPr>
          <w:b/>
          <w:bCs/>
          <w:u w:val="single"/>
        </w:rPr>
      </w:pPr>
      <w:r>
        <w:rPr>
          <w:b/>
          <w:bCs/>
          <w:u w:val="single"/>
        </w:rPr>
        <w:lastRenderedPageBreak/>
        <w:t>Fund versus Benchmark:</w:t>
      </w:r>
      <w:bookmarkStart w:id="0" w:name="_Hlk50233252"/>
    </w:p>
    <w:p w14:paraId="422604CB" w14:textId="74D2E6E7" w:rsidR="00E31580" w:rsidRDefault="00466420" w:rsidP="00E5423B">
      <w:pPr>
        <w:tabs>
          <w:tab w:val="left" w:pos="1014"/>
        </w:tabs>
        <w:spacing w:before="240" w:after="0"/>
        <w:jc w:val="both"/>
        <w:rPr>
          <w:b/>
          <w:bCs/>
          <w:u w:val="single"/>
        </w:rPr>
      </w:pPr>
      <w:r>
        <w:rPr>
          <w:noProof/>
        </w:rPr>
        <w:drawing>
          <wp:inline distT="0" distB="0" distL="0" distR="0" wp14:anchorId="7926A46E" wp14:editId="4C1E71A2">
            <wp:extent cx="5731510" cy="2451100"/>
            <wp:effectExtent l="19050" t="19050" r="21590" b="25400"/>
            <wp:docPr id="1765867955" name="Picture 1" descr="A graph of a stock mar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67955" name="Picture 1" descr="A graph of a stock marke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451100"/>
                    </a:xfrm>
                    <a:prstGeom prst="rect">
                      <a:avLst/>
                    </a:prstGeom>
                    <a:noFill/>
                    <a:ln>
                      <a:solidFill>
                        <a:schemeClr val="tx1"/>
                      </a:solidFill>
                    </a:ln>
                  </pic:spPr>
                </pic:pic>
              </a:graphicData>
            </a:graphic>
          </wp:inline>
        </w:drawing>
      </w:r>
    </w:p>
    <w:p w14:paraId="0B671F3B" w14:textId="19A4D970" w:rsidR="005968B1" w:rsidRDefault="005968B1" w:rsidP="005968B1">
      <w:pPr>
        <w:tabs>
          <w:tab w:val="left" w:pos="1014"/>
        </w:tabs>
        <w:jc w:val="both"/>
      </w:pPr>
      <w:r>
        <w:rPr>
          <w:b/>
          <w:bCs/>
          <w:u w:val="single"/>
        </w:rPr>
        <w:t>Portfolio</w:t>
      </w:r>
      <w:r w:rsidRPr="009F270D">
        <w:rPr>
          <w:b/>
          <w:bCs/>
          <w:u w:val="single"/>
        </w:rPr>
        <w:t>:</w:t>
      </w:r>
    </w:p>
    <w:tbl>
      <w:tblPr>
        <w:tblStyle w:val="GridTable4-Accent6"/>
        <w:tblW w:w="5000" w:type="pct"/>
        <w:tblLook w:val="04A0" w:firstRow="1" w:lastRow="0" w:firstColumn="1" w:lastColumn="0" w:noHBand="0" w:noVBand="1"/>
      </w:tblPr>
      <w:tblGrid>
        <w:gridCol w:w="1804"/>
        <w:gridCol w:w="1803"/>
        <w:gridCol w:w="1803"/>
        <w:gridCol w:w="1803"/>
        <w:gridCol w:w="1803"/>
      </w:tblGrid>
      <w:tr w:rsidR="0093168B" w14:paraId="63A52660" w14:textId="77777777" w:rsidTr="00931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bottom w:val="single" w:sz="12" w:space="0" w:color="FFFFFF" w:themeColor="background1"/>
              <w:right w:val="single" w:sz="12" w:space="0" w:color="FFFFFF" w:themeColor="background1"/>
            </w:tcBorders>
            <w:shd w:val="clear" w:color="auto" w:fill="538135" w:themeFill="accent6" w:themeFillShade="BF"/>
            <w:vAlign w:val="center"/>
          </w:tcPr>
          <w:p w14:paraId="1472BA51" w14:textId="373DB34E" w:rsidR="0093168B" w:rsidRDefault="0093168B" w:rsidP="005968B1">
            <w:pPr>
              <w:tabs>
                <w:tab w:val="left" w:pos="1014"/>
              </w:tabs>
              <w:jc w:val="center"/>
            </w:pPr>
            <w:r>
              <w:t>Company</w:t>
            </w:r>
          </w:p>
        </w:tc>
        <w:tc>
          <w:tcPr>
            <w:tcW w:w="1000" w:type="pct"/>
            <w:tcBorders>
              <w:left w:val="single" w:sz="12" w:space="0" w:color="FFFFFF" w:themeColor="background1"/>
              <w:bottom w:val="single" w:sz="12" w:space="0" w:color="FFFFFF" w:themeColor="background1"/>
              <w:right w:val="single" w:sz="12" w:space="0" w:color="FFFFFF" w:themeColor="background1"/>
            </w:tcBorders>
            <w:shd w:val="clear" w:color="auto" w:fill="538135" w:themeFill="accent6" w:themeFillShade="BF"/>
            <w:vAlign w:val="center"/>
          </w:tcPr>
          <w:p w14:paraId="2DD48FC2" w14:textId="1B8E1553" w:rsidR="0093168B" w:rsidRDefault="0093168B" w:rsidP="005968B1">
            <w:pPr>
              <w:tabs>
                <w:tab w:val="left" w:pos="1014"/>
              </w:tabs>
              <w:jc w:val="center"/>
              <w:cnfStyle w:val="100000000000" w:firstRow="1" w:lastRow="0" w:firstColumn="0" w:lastColumn="0" w:oddVBand="0" w:evenVBand="0" w:oddHBand="0" w:evenHBand="0" w:firstRowFirstColumn="0" w:firstRowLastColumn="0" w:lastRowFirstColumn="0" w:lastRowLastColumn="0"/>
            </w:pPr>
            <w:r>
              <w:t>Initial Purchase Date</w:t>
            </w:r>
          </w:p>
        </w:tc>
        <w:tc>
          <w:tcPr>
            <w:tcW w:w="1000" w:type="pct"/>
            <w:tcBorders>
              <w:left w:val="single" w:sz="12" w:space="0" w:color="FFFFFF" w:themeColor="background1"/>
              <w:bottom w:val="single" w:sz="12" w:space="0" w:color="FFFFFF" w:themeColor="background1"/>
              <w:right w:val="single" w:sz="12" w:space="0" w:color="FFFFFF" w:themeColor="background1"/>
            </w:tcBorders>
            <w:shd w:val="clear" w:color="auto" w:fill="538135" w:themeFill="accent6" w:themeFillShade="BF"/>
            <w:vAlign w:val="center"/>
          </w:tcPr>
          <w:p w14:paraId="4E9BDB92" w14:textId="34D4E3F3" w:rsidR="0093168B" w:rsidRDefault="0093168B" w:rsidP="005968B1">
            <w:pPr>
              <w:tabs>
                <w:tab w:val="left" w:pos="1014"/>
              </w:tabs>
              <w:jc w:val="center"/>
              <w:cnfStyle w:val="100000000000" w:firstRow="1" w:lastRow="0" w:firstColumn="0" w:lastColumn="0" w:oddVBand="0" w:evenVBand="0" w:oddHBand="0" w:evenHBand="0" w:firstRowFirstColumn="0" w:firstRowLastColumn="0" w:lastRowFirstColumn="0" w:lastRowLastColumn="0"/>
            </w:pPr>
            <w:r>
              <w:t>Ave. Purchase Price</w:t>
            </w:r>
          </w:p>
        </w:tc>
        <w:tc>
          <w:tcPr>
            <w:tcW w:w="1000" w:type="pct"/>
            <w:tcBorders>
              <w:left w:val="single" w:sz="12" w:space="0" w:color="FFFFFF" w:themeColor="background1"/>
              <w:bottom w:val="single" w:sz="12" w:space="0" w:color="FFFFFF" w:themeColor="background1"/>
              <w:right w:val="single" w:sz="12" w:space="0" w:color="FFFFFF" w:themeColor="background1"/>
            </w:tcBorders>
            <w:shd w:val="clear" w:color="auto" w:fill="538135" w:themeFill="accent6" w:themeFillShade="BF"/>
            <w:vAlign w:val="center"/>
          </w:tcPr>
          <w:p w14:paraId="4C433E90" w14:textId="37DAFF81" w:rsidR="0093168B" w:rsidRDefault="0093168B" w:rsidP="005968B1">
            <w:pPr>
              <w:tabs>
                <w:tab w:val="left" w:pos="1014"/>
              </w:tabs>
              <w:jc w:val="center"/>
              <w:cnfStyle w:val="100000000000" w:firstRow="1" w:lastRow="0" w:firstColumn="0" w:lastColumn="0" w:oddVBand="0" w:evenVBand="0" w:oddHBand="0" w:evenHBand="0" w:firstRowFirstColumn="0" w:firstRowLastColumn="0" w:lastRowFirstColumn="0" w:lastRowLastColumn="0"/>
            </w:pPr>
            <w:r>
              <w:t>Annualised Return*</w:t>
            </w:r>
          </w:p>
        </w:tc>
        <w:tc>
          <w:tcPr>
            <w:tcW w:w="1000" w:type="pct"/>
            <w:tcBorders>
              <w:left w:val="single" w:sz="12" w:space="0" w:color="FFFFFF" w:themeColor="background1"/>
              <w:bottom w:val="single" w:sz="12" w:space="0" w:color="FFFFFF" w:themeColor="background1"/>
            </w:tcBorders>
            <w:shd w:val="clear" w:color="auto" w:fill="538135" w:themeFill="accent6" w:themeFillShade="BF"/>
            <w:vAlign w:val="center"/>
          </w:tcPr>
          <w:p w14:paraId="5C8B360B" w14:textId="36CCD82A" w:rsidR="0093168B" w:rsidRDefault="0093168B" w:rsidP="005968B1">
            <w:pPr>
              <w:tabs>
                <w:tab w:val="left" w:pos="1014"/>
              </w:tabs>
              <w:jc w:val="center"/>
              <w:cnfStyle w:val="100000000000" w:firstRow="1" w:lastRow="0" w:firstColumn="0" w:lastColumn="0" w:oddVBand="0" w:evenVBand="0" w:oddHBand="0" w:evenHBand="0" w:firstRowFirstColumn="0" w:firstRowLastColumn="0" w:lastRowFirstColumn="0" w:lastRowLastColumn="0"/>
            </w:pPr>
            <w:r>
              <w:t>Portfolio Weighting</w:t>
            </w:r>
          </w:p>
        </w:tc>
      </w:tr>
      <w:tr w:rsidR="008C7D9F" w14:paraId="3B209BD2" w14:textId="77777777" w:rsidTr="0093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FFFFFF" w:themeColor="background1"/>
            </w:tcBorders>
          </w:tcPr>
          <w:p w14:paraId="15B5CD0A" w14:textId="69BC74C9" w:rsidR="008C7D9F" w:rsidRDefault="008C7D9F" w:rsidP="008C7D9F">
            <w:pPr>
              <w:tabs>
                <w:tab w:val="left" w:pos="1014"/>
              </w:tabs>
              <w:jc w:val="both"/>
            </w:pPr>
            <w:r>
              <w:t>Cash</w:t>
            </w:r>
          </w:p>
        </w:tc>
        <w:tc>
          <w:tcPr>
            <w:tcW w:w="1000" w:type="pct"/>
            <w:tcBorders>
              <w:top w:val="single" w:sz="12" w:space="0" w:color="FFFFFF" w:themeColor="background1"/>
            </w:tcBorders>
          </w:tcPr>
          <w:p w14:paraId="7A87A61C" w14:textId="77777777" w:rsidR="008C7D9F" w:rsidRDefault="008C7D9F" w:rsidP="008C7D9F">
            <w:pPr>
              <w:tabs>
                <w:tab w:val="left" w:pos="1014"/>
              </w:tabs>
              <w:jc w:val="both"/>
              <w:cnfStyle w:val="000000100000" w:firstRow="0" w:lastRow="0" w:firstColumn="0" w:lastColumn="0" w:oddVBand="0" w:evenVBand="0" w:oddHBand="1" w:evenHBand="0" w:firstRowFirstColumn="0" w:firstRowLastColumn="0" w:lastRowFirstColumn="0" w:lastRowLastColumn="0"/>
            </w:pPr>
          </w:p>
        </w:tc>
        <w:tc>
          <w:tcPr>
            <w:tcW w:w="1000" w:type="pct"/>
            <w:tcBorders>
              <w:top w:val="single" w:sz="12" w:space="0" w:color="FFFFFF" w:themeColor="background1"/>
            </w:tcBorders>
          </w:tcPr>
          <w:p w14:paraId="40FC8A31" w14:textId="77777777" w:rsidR="008C7D9F" w:rsidRDefault="008C7D9F" w:rsidP="008C7D9F">
            <w:pPr>
              <w:tabs>
                <w:tab w:val="left" w:pos="1014"/>
              </w:tabs>
              <w:jc w:val="both"/>
              <w:cnfStyle w:val="000000100000" w:firstRow="0" w:lastRow="0" w:firstColumn="0" w:lastColumn="0" w:oddVBand="0" w:evenVBand="0" w:oddHBand="1" w:evenHBand="0" w:firstRowFirstColumn="0" w:firstRowLastColumn="0" w:lastRowFirstColumn="0" w:lastRowLastColumn="0"/>
            </w:pPr>
          </w:p>
        </w:tc>
        <w:tc>
          <w:tcPr>
            <w:tcW w:w="1000" w:type="pct"/>
            <w:tcBorders>
              <w:top w:val="single" w:sz="12" w:space="0" w:color="FFFFFF" w:themeColor="background1"/>
            </w:tcBorders>
          </w:tcPr>
          <w:p w14:paraId="334E43C2" w14:textId="21877E35" w:rsidR="008C7D9F" w:rsidRDefault="008C7D9F" w:rsidP="008C7D9F">
            <w:pPr>
              <w:tabs>
                <w:tab w:val="left" w:pos="1014"/>
              </w:tabs>
              <w:jc w:val="right"/>
              <w:cnfStyle w:val="000000100000" w:firstRow="0" w:lastRow="0" w:firstColumn="0" w:lastColumn="0" w:oddVBand="0" w:evenVBand="0" w:oddHBand="1" w:evenHBand="0" w:firstRowFirstColumn="0" w:firstRowLastColumn="0" w:lastRowFirstColumn="0" w:lastRowLastColumn="0"/>
            </w:pPr>
            <w:r>
              <w:t>3.</w:t>
            </w:r>
            <w:r w:rsidR="00BD0179">
              <w:t>9</w:t>
            </w:r>
            <w:r>
              <w:t>%</w:t>
            </w:r>
          </w:p>
        </w:tc>
        <w:tc>
          <w:tcPr>
            <w:tcW w:w="1000" w:type="pct"/>
            <w:tcBorders>
              <w:top w:val="single" w:sz="12" w:space="0" w:color="FFFFFF" w:themeColor="background1"/>
            </w:tcBorders>
          </w:tcPr>
          <w:p w14:paraId="5C8A27AA" w14:textId="4AB63597" w:rsidR="008C7D9F" w:rsidRDefault="00BD0179" w:rsidP="008C7D9F">
            <w:pPr>
              <w:tabs>
                <w:tab w:val="left" w:pos="1014"/>
              </w:tabs>
              <w:jc w:val="right"/>
              <w:cnfStyle w:val="000000100000" w:firstRow="0" w:lastRow="0" w:firstColumn="0" w:lastColumn="0" w:oddVBand="0" w:evenVBand="0" w:oddHBand="1" w:evenHBand="0" w:firstRowFirstColumn="0" w:firstRowLastColumn="0" w:lastRowFirstColumn="0" w:lastRowLastColumn="0"/>
            </w:pPr>
            <w:r>
              <w:t>35.0</w:t>
            </w:r>
            <w:r w:rsidR="008C7D9F">
              <w:t>%</w:t>
            </w:r>
          </w:p>
        </w:tc>
      </w:tr>
      <w:tr w:rsidR="008C7D9F" w14:paraId="13F955B6" w14:textId="77777777" w:rsidTr="0093168B">
        <w:tc>
          <w:tcPr>
            <w:cnfStyle w:val="001000000000" w:firstRow="0" w:lastRow="0" w:firstColumn="1" w:lastColumn="0" w:oddVBand="0" w:evenVBand="0" w:oddHBand="0" w:evenHBand="0" w:firstRowFirstColumn="0" w:firstRowLastColumn="0" w:lastRowFirstColumn="0" w:lastRowLastColumn="0"/>
            <w:tcW w:w="1000" w:type="pct"/>
            <w:tcBorders>
              <w:top w:val="single" w:sz="12" w:space="0" w:color="FFFFFF" w:themeColor="background1"/>
            </w:tcBorders>
          </w:tcPr>
          <w:p w14:paraId="287C3FC2" w14:textId="07EEDF03" w:rsidR="008C7D9F" w:rsidRDefault="008C7D9F" w:rsidP="008C7D9F">
            <w:pPr>
              <w:tabs>
                <w:tab w:val="left" w:pos="1014"/>
              </w:tabs>
              <w:jc w:val="both"/>
            </w:pPr>
            <w:r>
              <w:t>Nick Scali</w:t>
            </w:r>
          </w:p>
        </w:tc>
        <w:tc>
          <w:tcPr>
            <w:tcW w:w="1000" w:type="pct"/>
            <w:tcBorders>
              <w:top w:val="single" w:sz="12" w:space="0" w:color="FFFFFF" w:themeColor="background1"/>
            </w:tcBorders>
          </w:tcPr>
          <w:p w14:paraId="41A6AB5A" w14:textId="71EE3075" w:rsidR="008C7D9F" w:rsidRDefault="008C7D9F" w:rsidP="008C7D9F">
            <w:pPr>
              <w:tabs>
                <w:tab w:val="left" w:pos="1014"/>
              </w:tabs>
              <w:jc w:val="both"/>
              <w:cnfStyle w:val="000000000000" w:firstRow="0" w:lastRow="0" w:firstColumn="0" w:lastColumn="0" w:oddVBand="0" w:evenVBand="0" w:oddHBand="0" w:evenHBand="0" w:firstRowFirstColumn="0" w:firstRowLastColumn="0" w:lastRowFirstColumn="0" w:lastRowLastColumn="0"/>
            </w:pPr>
            <w:r>
              <w:t>05/07/2018</w:t>
            </w:r>
          </w:p>
        </w:tc>
        <w:tc>
          <w:tcPr>
            <w:tcW w:w="1000" w:type="pct"/>
            <w:tcBorders>
              <w:top w:val="single" w:sz="12" w:space="0" w:color="FFFFFF" w:themeColor="background1"/>
            </w:tcBorders>
          </w:tcPr>
          <w:p w14:paraId="3208662D" w14:textId="59C5E573" w:rsidR="008C7D9F" w:rsidRDefault="008C7D9F" w:rsidP="008C7D9F">
            <w:pPr>
              <w:tabs>
                <w:tab w:val="left" w:pos="1014"/>
              </w:tabs>
              <w:jc w:val="both"/>
              <w:cnfStyle w:val="000000000000" w:firstRow="0" w:lastRow="0" w:firstColumn="0" w:lastColumn="0" w:oddVBand="0" w:evenVBand="0" w:oddHBand="0" w:evenHBand="0" w:firstRowFirstColumn="0" w:firstRowLastColumn="0" w:lastRowFirstColumn="0" w:lastRowLastColumn="0"/>
            </w:pPr>
            <w:r>
              <w:t>$ 5.90</w:t>
            </w:r>
          </w:p>
        </w:tc>
        <w:tc>
          <w:tcPr>
            <w:tcW w:w="1000" w:type="pct"/>
            <w:tcBorders>
              <w:top w:val="single" w:sz="12" w:space="0" w:color="FFFFFF" w:themeColor="background1"/>
            </w:tcBorders>
          </w:tcPr>
          <w:p w14:paraId="074494F5" w14:textId="63F1A55B" w:rsidR="008C7D9F" w:rsidRDefault="008C7D9F" w:rsidP="008C7D9F">
            <w:pPr>
              <w:tabs>
                <w:tab w:val="left" w:pos="1014"/>
              </w:tabs>
              <w:jc w:val="right"/>
              <w:cnfStyle w:val="000000000000" w:firstRow="0" w:lastRow="0" w:firstColumn="0" w:lastColumn="0" w:oddVBand="0" w:evenVBand="0" w:oddHBand="0" w:evenHBand="0" w:firstRowFirstColumn="0" w:firstRowLastColumn="0" w:lastRowFirstColumn="0" w:lastRowLastColumn="0"/>
            </w:pPr>
            <w:r>
              <w:t>3</w:t>
            </w:r>
            <w:r w:rsidR="00BD0179">
              <w:t>2</w:t>
            </w:r>
            <w:r>
              <w:t>.9%</w:t>
            </w:r>
          </w:p>
        </w:tc>
        <w:tc>
          <w:tcPr>
            <w:tcW w:w="1000" w:type="pct"/>
            <w:tcBorders>
              <w:top w:val="single" w:sz="12" w:space="0" w:color="FFFFFF" w:themeColor="background1"/>
            </w:tcBorders>
          </w:tcPr>
          <w:p w14:paraId="6D132EDA" w14:textId="72BF3FB3" w:rsidR="008C7D9F" w:rsidRDefault="00AC38BA" w:rsidP="008C7D9F">
            <w:pPr>
              <w:tabs>
                <w:tab w:val="left" w:pos="1014"/>
              </w:tabs>
              <w:jc w:val="right"/>
              <w:cnfStyle w:val="000000000000" w:firstRow="0" w:lastRow="0" w:firstColumn="0" w:lastColumn="0" w:oddVBand="0" w:evenVBand="0" w:oddHBand="0" w:evenHBand="0" w:firstRowFirstColumn="0" w:firstRowLastColumn="0" w:lastRowFirstColumn="0" w:lastRowLastColumn="0"/>
            </w:pPr>
            <w:r>
              <w:t>25.</w:t>
            </w:r>
            <w:r w:rsidR="00BD0179">
              <w:t>8</w:t>
            </w:r>
            <w:r w:rsidR="008C7D9F">
              <w:t>%</w:t>
            </w:r>
          </w:p>
        </w:tc>
      </w:tr>
      <w:tr w:rsidR="008C7D9F" w14:paraId="2B49C162" w14:textId="77777777" w:rsidTr="0093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1624A73" w14:textId="2BCD30AE" w:rsidR="008C7D9F" w:rsidRDefault="008C7D9F" w:rsidP="008C7D9F">
            <w:pPr>
              <w:tabs>
                <w:tab w:val="left" w:pos="1014"/>
              </w:tabs>
              <w:jc w:val="both"/>
            </w:pPr>
            <w:r>
              <w:t>Lovisa</w:t>
            </w:r>
          </w:p>
        </w:tc>
        <w:tc>
          <w:tcPr>
            <w:tcW w:w="1000" w:type="pct"/>
          </w:tcPr>
          <w:p w14:paraId="02CEEA48" w14:textId="6C902B10" w:rsidR="008C7D9F" w:rsidRDefault="008C7D9F" w:rsidP="008C7D9F">
            <w:pPr>
              <w:tabs>
                <w:tab w:val="left" w:pos="1014"/>
              </w:tabs>
              <w:jc w:val="both"/>
              <w:cnfStyle w:val="000000100000" w:firstRow="0" w:lastRow="0" w:firstColumn="0" w:lastColumn="0" w:oddVBand="0" w:evenVBand="0" w:oddHBand="1" w:evenHBand="0" w:firstRowFirstColumn="0" w:firstRowLastColumn="0" w:lastRowFirstColumn="0" w:lastRowLastColumn="0"/>
            </w:pPr>
            <w:r>
              <w:t>25/03/2020</w:t>
            </w:r>
          </w:p>
        </w:tc>
        <w:tc>
          <w:tcPr>
            <w:tcW w:w="1000" w:type="pct"/>
          </w:tcPr>
          <w:p w14:paraId="56FE9117" w14:textId="7A024479" w:rsidR="008C7D9F" w:rsidRDefault="008C7D9F" w:rsidP="008C7D9F">
            <w:pPr>
              <w:tabs>
                <w:tab w:val="left" w:pos="1014"/>
              </w:tabs>
              <w:jc w:val="both"/>
              <w:cnfStyle w:val="000000100000" w:firstRow="0" w:lastRow="0" w:firstColumn="0" w:lastColumn="0" w:oddVBand="0" w:evenVBand="0" w:oddHBand="1" w:evenHBand="0" w:firstRowFirstColumn="0" w:firstRowLastColumn="0" w:lastRowFirstColumn="0" w:lastRowLastColumn="0"/>
            </w:pPr>
            <w:r>
              <w:t>$ 7.60</w:t>
            </w:r>
          </w:p>
        </w:tc>
        <w:tc>
          <w:tcPr>
            <w:tcW w:w="1000" w:type="pct"/>
          </w:tcPr>
          <w:p w14:paraId="7F10FD64" w14:textId="7C94A2E8" w:rsidR="008C7D9F" w:rsidRDefault="00BD0179" w:rsidP="008C7D9F">
            <w:pPr>
              <w:tabs>
                <w:tab w:val="left" w:pos="1014"/>
              </w:tabs>
              <w:jc w:val="right"/>
              <w:cnfStyle w:val="000000100000" w:firstRow="0" w:lastRow="0" w:firstColumn="0" w:lastColumn="0" w:oddVBand="0" w:evenVBand="0" w:oddHBand="1" w:evenHBand="0" w:firstRowFirstColumn="0" w:firstRowLastColumn="0" w:lastRowFirstColumn="0" w:lastRowLastColumn="0"/>
            </w:pPr>
            <w:r>
              <w:t>83</w:t>
            </w:r>
            <w:r w:rsidR="00AC38BA">
              <w:t>.</w:t>
            </w:r>
            <w:r>
              <w:t>4</w:t>
            </w:r>
            <w:r w:rsidR="008C7D9F">
              <w:t>%</w:t>
            </w:r>
          </w:p>
        </w:tc>
        <w:tc>
          <w:tcPr>
            <w:tcW w:w="1000" w:type="pct"/>
          </w:tcPr>
          <w:p w14:paraId="49D5D499" w14:textId="47B3BDF8" w:rsidR="008C7D9F" w:rsidRDefault="00AC38BA" w:rsidP="008C7D9F">
            <w:pPr>
              <w:tabs>
                <w:tab w:val="left" w:pos="1014"/>
              </w:tabs>
              <w:jc w:val="right"/>
              <w:cnfStyle w:val="000000100000" w:firstRow="0" w:lastRow="0" w:firstColumn="0" w:lastColumn="0" w:oddVBand="0" w:evenVBand="0" w:oddHBand="1" w:evenHBand="0" w:firstRowFirstColumn="0" w:firstRowLastColumn="0" w:lastRowFirstColumn="0" w:lastRowLastColumn="0"/>
            </w:pPr>
            <w:r>
              <w:t>1</w:t>
            </w:r>
            <w:r w:rsidR="00BD0179">
              <w:t>7</w:t>
            </w:r>
            <w:r w:rsidR="008C7D9F">
              <w:t>.</w:t>
            </w:r>
            <w:r w:rsidR="00BD0179">
              <w:t>5</w:t>
            </w:r>
            <w:r w:rsidR="008C7D9F">
              <w:t>%</w:t>
            </w:r>
          </w:p>
        </w:tc>
      </w:tr>
      <w:tr w:rsidR="008C7D9F" w14:paraId="26BE7ADF" w14:textId="77777777" w:rsidTr="0093168B">
        <w:tc>
          <w:tcPr>
            <w:cnfStyle w:val="001000000000" w:firstRow="0" w:lastRow="0" w:firstColumn="1" w:lastColumn="0" w:oddVBand="0" w:evenVBand="0" w:oddHBand="0" w:evenHBand="0" w:firstRowFirstColumn="0" w:firstRowLastColumn="0" w:lastRowFirstColumn="0" w:lastRowLastColumn="0"/>
            <w:tcW w:w="1000" w:type="pct"/>
          </w:tcPr>
          <w:p w14:paraId="5B458CCF" w14:textId="5CD551F4" w:rsidR="008C7D9F" w:rsidRDefault="008C7D9F" w:rsidP="008C7D9F">
            <w:pPr>
              <w:tabs>
                <w:tab w:val="left" w:pos="1014"/>
              </w:tabs>
              <w:jc w:val="both"/>
            </w:pPr>
            <w:r>
              <w:t>Flight Centre</w:t>
            </w:r>
          </w:p>
        </w:tc>
        <w:tc>
          <w:tcPr>
            <w:tcW w:w="1000" w:type="pct"/>
          </w:tcPr>
          <w:p w14:paraId="1637C9E0" w14:textId="252EAC48" w:rsidR="008C7D9F" w:rsidRDefault="008C7D9F" w:rsidP="008C7D9F">
            <w:pPr>
              <w:tabs>
                <w:tab w:val="left" w:pos="1014"/>
              </w:tabs>
              <w:jc w:val="both"/>
              <w:cnfStyle w:val="000000000000" w:firstRow="0" w:lastRow="0" w:firstColumn="0" w:lastColumn="0" w:oddVBand="0" w:evenVBand="0" w:oddHBand="0" w:evenHBand="0" w:firstRowFirstColumn="0" w:firstRowLastColumn="0" w:lastRowFirstColumn="0" w:lastRowLastColumn="0"/>
            </w:pPr>
            <w:r>
              <w:t>16/03/2020</w:t>
            </w:r>
          </w:p>
        </w:tc>
        <w:tc>
          <w:tcPr>
            <w:tcW w:w="1000" w:type="pct"/>
          </w:tcPr>
          <w:p w14:paraId="754866B2" w14:textId="6EFB528C" w:rsidR="008C7D9F" w:rsidRDefault="008C7D9F" w:rsidP="008C7D9F">
            <w:pPr>
              <w:tabs>
                <w:tab w:val="left" w:pos="1014"/>
              </w:tabs>
              <w:jc w:val="both"/>
              <w:cnfStyle w:val="000000000000" w:firstRow="0" w:lastRow="0" w:firstColumn="0" w:lastColumn="0" w:oddVBand="0" w:evenVBand="0" w:oddHBand="0" w:evenHBand="0" w:firstRowFirstColumn="0" w:firstRowLastColumn="0" w:lastRowFirstColumn="0" w:lastRowLastColumn="0"/>
            </w:pPr>
            <w:r>
              <w:t>$ 13.04</w:t>
            </w:r>
          </w:p>
        </w:tc>
        <w:tc>
          <w:tcPr>
            <w:tcW w:w="1000" w:type="pct"/>
          </w:tcPr>
          <w:p w14:paraId="7598B013" w14:textId="75E80F50" w:rsidR="008C7D9F" w:rsidRDefault="00BD0179" w:rsidP="008C7D9F">
            <w:pPr>
              <w:tabs>
                <w:tab w:val="left" w:pos="1014"/>
              </w:tabs>
              <w:jc w:val="right"/>
              <w:cnfStyle w:val="000000000000" w:firstRow="0" w:lastRow="0" w:firstColumn="0" w:lastColumn="0" w:oddVBand="0" w:evenVBand="0" w:oddHBand="0" w:evenHBand="0" w:firstRowFirstColumn="0" w:firstRowLastColumn="0" w:lastRowFirstColumn="0" w:lastRowLastColumn="0"/>
            </w:pPr>
            <w:r>
              <w:t>9.3</w:t>
            </w:r>
            <w:r w:rsidR="008C7D9F">
              <w:t>%</w:t>
            </w:r>
          </w:p>
        </w:tc>
        <w:tc>
          <w:tcPr>
            <w:tcW w:w="1000" w:type="pct"/>
          </w:tcPr>
          <w:p w14:paraId="7DA7BB04" w14:textId="6BF46D4B" w:rsidR="008C7D9F" w:rsidRDefault="00AC38BA" w:rsidP="008C7D9F">
            <w:pPr>
              <w:tabs>
                <w:tab w:val="left" w:pos="1014"/>
              </w:tabs>
              <w:jc w:val="right"/>
              <w:cnfStyle w:val="000000000000" w:firstRow="0" w:lastRow="0" w:firstColumn="0" w:lastColumn="0" w:oddVBand="0" w:evenVBand="0" w:oddHBand="0" w:evenHBand="0" w:firstRowFirstColumn="0" w:firstRowLastColumn="0" w:lastRowFirstColumn="0" w:lastRowLastColumn="0"/>
            </w:pPr>
            <w:r>
              <w:t>11.</w:t>
            </w:r>
            <w:r w:rsidR="00BD0179">
              <w:t>1</w:t>
            </w:r>
            <w:r w:rsidR="008C7D9F">
              <w:t>%</w:t>
            </w:r>
          </w:p>
        </w:tc>
      </w:tr>
      <w:tr w:rsidR="00BD0179" w14:paraId="3813C8E1" w14:textId="77777777" w:rsidTr="0093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739C2CF" w14:textId="30448975" w:rsidR="00BD0179" w:rsidRDefault="00BD0179" w:rsidP="00BD0179">
            <w:pPr>
              <w:tabs>
                <w:tab w:val="left" w:pos="1014"/>
              </w:tabs>
              <w:jc w:val="both"/>
            </w:pPr>
            <w:r>
              <w:t>Smart Group</w:t>
            </w:r>
          </w:p>
        </w:tc>
        <w:tc>
          <w:tcPr>
            <w:tcW w:w="1000" w:type="pct"/>
          </w:tcPr>
          <w:p w14:paraId="7DF3756F" w14:textId="505A10F0" w:rsidR="00BD0179" w:rsidRDefault="00BD0179" w:rsidP="00BD0179">
            <w:pPr>
              <w:tabs>
                <w:tab w:val="left" w:pos="1014"/>
              </w:tabs>
              <w:jc w:val="both"/>
              <w:cnfStyle w:val="000000100000" w:firstRow="0" w:lastRow="0" w:firstColumn="0" w:lastColumn="0" w:oddVBand="0" w:evenVBand="0" w:oddHBand="1" w:evenHBand="0" w:firstRowFirstColumn="0" w:firstRowLastColumn="0" w:lastRowFirstColumn="0" w:lastRowLastColumn="0"/>
            </w:pPr>
            <w:r>
              <w:t>20/02/2020</w:t>
            </w:r>
          </w:p>
        </w:tc>
        <w:tc>
          <w:tcPr>
            <w:tcW w:w="1000" w:type="pct"/>
          </w:tcPr>
          <w:p w14:paraId="7FED1570" w14:textId="2A48B350" w:rsidR="00BD0179" w:rsidRDefault="00BD0179" w:rsidP="00BD0179">
            <w:pPr>
              <w:tabs>
                <w:tab w:val="left" w:pos="1014"/>
              </w:tabs>
              <w:jc w:val="both"/>
              <w:cnfStyle w:val="000000100000" w:firstRow="0" w:lastRow="0" w:firstColumn="0" w:lastColumn="0" w:oddVBand="0" w:evenVBand="0" w:oddHBand="1" w:evenHBand="0" w:firstRowFirstColumn="0" w:firstRowLastColumn="0" w:lastRowFirstColumn="0" w:lastRowLastColumn="0"/>
            </w:pPr>
            <w:r>
              <w:t>$ 5.90</w:t>
            </w:r>
          </w:p>
        </w:tc>
        <w:tc>
          <w:tcPr>
            <w:tcW w:w="1000" w:type="pct"/>
          </w:tcPr>
          <w:p w14:paraId="455C5C1A" w14:textId="7C16DC72" w:rsidR="00BD0179" w:rsidRDefault="00BD0179" w:rsidP="00BD0179">
            <w:pPr>
              <w:tabs>
                <w:tab w:val="left" w:pos="1014"/>
              </w:tabs>
              <w:jc w:val="right"/>
              <w:cnfStyle w:val="000000100000" w:firstRow="0" w:lastRow="0" w:firstColumn="0" w:lastColumn="0" w:oddVBand="0" w:evenVBand="0" w:oddHBand="1" w:evenHBand="0" w:firstRowFirstColumn="0" w:firstRowLastColumn="0" w:lastRowFirstColumn="0" w:lastRowLastColumn="0"/>
            </w:pPr>
            <w:r>
              <w:t>18.7%</w:t>
            </w:r>
          </w:p>
        </w:tc>
        <w:tc>
          <w:tcPr>
            <w:tcW w:w="1000" w:type="pct"/>
          </w:tcPr>
          <w:p w14:paraId="03463960" w14:textId="5C2A97C4" w:rsidR="00BD0179" w:rsidRDefault="00BD0179" w:rsidP="00BD0179">
            <w:pPr>
              <w:tabs>
                <w:tab w:val="left" w:pos="1014"/>
              </w:tabs>
              <w:jc w:val="right"/>
              <w:cnfStyle w:val="000000100000" w:firstRow="0" w:lastRow="0" w:firstColumn="0" w:lastColumn="0" w:oddVBand="0" w:evenVBand="0" w:oddHBand="1" w:evenHBand="0" w:firstRowFirstColumn="0" w:firstRowLastColumn="0" w:lastRowFirstColumn="0" w:lastRowLastColumn="0"/>
            </w:pPr>
            <w:r>
              <w:t>5.0%</w:t>
            </w:r>
          </w:p>
        </w:tc>
      </w:tr>
      <w:tr w:rsidR="00BD0179" w14:paraId="11378068" w14:textId="77777777" w:rsidTr="0093168B">
        <w:tc>
          <w:tcPr>
            <w:cnfStyle w:val="001000000000" w:firstRow="0" w:lastRow="0" w:firstColumn="1" w:lastColumn="0" w:oddVBand="0" w:evenVBand="0" w:oddHBand="0" w:evenHBand="0" w:firstRowFirstColumn="0" w:firstRowLastColumn="0" w:lastRowFirstColumn="0" w:lastRowLastColumn="0"/>
            <w:tcW w:w="1000" w:type="pct"/>
          </w:tcPr>
          <w:p w14:paraId="7CD8BAFC" w14:textId="4E2D3A62" w:rsidR="00BD0179" w:rsidRDefault="00BD0179" w:rsidP="00BD0179">
            <w:pPr>
              <w:tabs>
                <w:tab w:val="left" w:pos="1014"/>
              </w:tabs>
              <w:jc w:val="both"/>
            </w:pPr>
            <w:r>
              <w:t>SG Fleet</w:t>
            </w:r>
          </w:p>
        </w:tc>
        <w:tc>
          <w:tcPr>
            <w:tcW w:w="1000" w:type="pct"/>
          </w:tcPr>
          <w:p w14:paraId="218A5185" w14:textId="16D183D4" w:rsidR="00BD0179" w:rsidRDefault="00BD0179" w:rsidP="00BD0179">
            <w:pPr>
              <w:tabs>
                <w:tab w:val="left" w:pos="1014"/>
              </w:tabs>
              <w:jc w:val="both"/>
              <w:cnfStyle w:val="000000000000" w:firstRow="0" w:lastRow="0" w:firstColumn="0" w:lastColumn="0" w:oddVBand="0" w:evenVBand="0" w:oddHBand="0" w:evenHBand="0" w:firstRowFirstColumn="0" w:firstRowLastColumn="0" w:lastRowFirstColumn="0" w:lastRowLastColumn="0"/>
            </w:pPr>
            <w:r>
              <w:t>27/07/2019</w:t>
            </w:r>
          </w:p>
        </w:tc>
        <w:tc>
          <w:tcPr>
            <w:tcW w:w="1000" w:type="pct"/>
          </w:tcPr>
          <w:p w14:paraId="52660FD7" w14:textId="69E95F76" w:rsidR="00BD0179" w:rsidRDefault="00BD0179" w:rsidP="00BD0179">
            <w:pPr>
              <w:tabs>
                <w:tab w:val="left" w:pos="1014"/>
              </w:tabs>
              <w:jc w:val="both"/>
              <w:cnfStyle w:val="000000000000" w:firstRow="0" w:lastRow="0" w:firstColumn="0" w:lastColumn="0" w:oddVBand="0" w:evenVBand="0" w:oddHBand="0" w:evenHBand="0" w:firstRowFirstColumn="0" w:firstRowLastColumn="0" w:lastRowFirstColumn="0" w:lastRowLastColumn="0"/>
            </w:pPr>
            <w:r>
              <w:t>$ 2.48</w:t>
            </w:r>
          </w:p>
        </w:tc>
        <w:tc>
          <w:tcPr>
            <w:tcW w:w="1000" w:type="pct"/>
          </w:tcPr>
          <w:p w14:paraId="307A919C" w14:textId="55CA289A" w:rsidR="00BD0179" w:rsidRDefault="00BD0179" w:rsidP="00BD0179">
            <w:pPr>
              <w:tabs>
                <w:tab w:val="left" w:pos="1014"/>
              </w:tabs>
              <w:jc w:val="right"/>
              <w:cnfStyle w:val="000000000000" w:firstRow="0" w:lastRow="0" w:firstColumn="0" w:lastColumn="0" w:oddVBand="0" w:evenVBand="0" w:oddHBand="0" w:evenHBand="0" w:firstRowFirstColumn="0" w:firstRowLastColumn="0" w:lastRowFirstColumn="0" w:lastRowLastColumn="0"/>
            </w:pPr>
            <w:r>
              <w:t>3.5%</w:t>
            </w:r>
          </w:p>
        </w:tc>
        <w:tc>
          <w:tcPr>
            <w:tcW w:w="1000" w:type="pct"/>
          </w:tcPr>
          <w:p w14:paraId="6930D3BA" w14:textId="51DF68EA" w:rsidR="00BD0179" w:rsidRDefault="00BD0179" w:rsidP="00BD0179">
            <w:pPr>
              <w:tabs>
                <w:tab w:val="left" w:pos="1014"/>
              </w:tabs>
              <w:jc w:val="right"/>
              <w:cnfStyle w:val="000000000000" w:firstRow="0" w:lastRow="0" w:firstColumn="0" w:lastColumn="0" w:oddVBand="0" w:evenVBand="0" w:oddHBand="0" w:evenHBand="0" w:firstRowFirstColumn="0" w:firstRowLastColumn="0" w:lastRowFirstColumn="0" w:lastRowLastColumn="0"/>
            </w:pPr>
            <w:r>
              <w:t>4.7%</w:t>
            </w:r>
          </w:p>
        </w:tc>
      </w:tr>
      <w:tr w:rsidR="00BD0179" w14:paraId="0058FA4B" w14:textId="77777777" w:rsidTr="0093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D19E7DF" w14:textId="61A8EFC6" w:rsidR="00BD0179" w:rsidRDefault="00BD0179" w:rsidP="00BD0179">
            <w:pPr>
              <w:tabs>
                <w:tab w:val="left" w:pos="1014"/>
              </w:tabs>
              <w:jc w:val="both"/>
            </w:pPr>
            <w:r>
              <w:t>Shine Corporate</w:t>
            </w:r>
          </w:p>
        </w:tc>
        <w:tc>
          <w:tcPr>
            <w:tcW w:w="1000" w:type="pct"/>
          </w:tcPr>
          <w:p w14:paraId="479CF668" w14:textId="013D660F" w:rsidR="00BD0179" w:rsidRDefault="00BD0179" w:rsidP="00BD0179">
            <w:pPr>
              <w:tabs>
                <w:tab w:val="left" w:pos="1014"/>
              </w:tabs>
              <w:jc w:val="both"/>
              <w:cnfStyle w:val="000000100000" w:firstRow="0" w:lastRow="0" w:firstColumn="0" w:lastColumn="0" w:oddVBand="0" w:evenVBand="0" w:oddHBand="1" w:evenHBand="0" w:firstRowFirstColumn="0" w:firstRowLastColumn="0" w:lastRowFirstColumn="0" w:lastRowLastColumn="0"/>
            </w:pPr>
            <w:r>
              <w:t>25/07/2019</w:t>
            </w:r>
          </w:p>
        </w:tc>
        <w:tc>
          <w:tcPr>
            <w:tcW w:w="1000" w:type="pct"/>
          </w:tcPr>
          <w:p w14:paraId="6BA5CD9E" w14:textId="11211DD9" w:rsidR="00BD0179" w:rsidRDefault="00BD0179" w:rsidP="00BD0179">
            <w:pPr>
              <w:tabs>
                <w:tab w:val="left" w:pos="1014"/>
              </w:tabs>
              <w:jc w:val="both"/>
              <w:cnfStyle w:val="000000100000" w:firstRow="0" w:lastRow="0" w:firstColumn="0" w:lastColumn="0" w:oddVBand="0" w:evenVBand="0" w:oddHBand="1" w:evenHBand="0" w:firstRowFirstColumn="0" w:firstRowLastColumn="0" w:lastRowFirstColumn="0" w:lastRowLastColumn="0"/>
            </w:pPr>
            <w:r>
              <w:t>$ 0.73</w:t>
            </w:r>
          </w:p>
        </w:tc>
        <w:tc>
          <w:tcPr>
            <w:tcW w:w="1000" w:type="pct"/>
          </w:tcPr>
          <w:p w14:paraId="52CE1E6F" w14:textId="5A831A72" w:rsidR="00BD0179" w:rsidRDefault="00BD0179" w:rsidP="00BD0179">
            <w:pPr>
              <w:tabs>
                <w:tab w:val="left" w:pos="1014"/>
              </w:tabs>
              <w:jc w:val="right"/>
              <w:cnfStyle w:val="000000100000" w:firstRow="0" w:lastRow="0" w:firstColumn="0" w:lastColumn="0" w:oddVBand="0" w:evenVBand="0" w:oddHBand="1" w:evenHBand="0" w:firstRowFirstColumn="0" w:firstRowLastColumn="0" w:lastRowFirstColumn="0" w:lastRowLastColumn="0"/>
            </w:pPr>
            <w:r>
              <w:t>3.3%</w:t>
            </w:r>
          </w:p>
        </w:tc>
        <w:tc>
          <w:tcPr>
            <w:tcW w:w="1000" w:type="pct"/>
          </w:tcPr>
          <w:p w14:paraId="67213772" w14:textId="67B5E9AF" w:rsidR="00BD0179" w:rsidRDefault="00BD0179" w:rsidP="00BD0179">
            <w:pPr>
              <w:tabs>
                <w:tab w:val="left" w:pos="1014"/>
              </w:tabs>
              <w:jc w:val="right"/>
              <w:cnfStyle w:val="000000100000" w:firstRow="0" w:lastRow="0" w:firstColumn="0" w:lastColumn="0" w:oddVBand="0" w:evenVBand="0" w:oddHBand="1" w:evenHBand="0" w:firstRowFirstColumn="0" w:firstRowLastColumn="0" w:lastRowFirstColumn="0" w:lastRowLastColumn="0"/>
            </w:pPr>
            <w:r>
              <w:t>1.0%</w:t>
            </w:r>
          </w:p>
        </w:tc>
      </w:tr>
    </w:tbl>
    <w:p w14:paraId="60F58C51" w14:textId="77777777" w:rsidR="00466420" w:rsidRDefault="004142C2" w:rsidP="00DF5050">
      <w:pPr>
        <w:tabs>
          <w:tab w:val="left" w:pos="1014"/>
        </w:tabs>
        <w:jc w:val="both"/>
        <w:rPr>
          <w:sz w:val="18"/>
          <w:szCs w:val="18"/>
        </w:rPr>
      </w:pPr>
      <w:r w:rsidRPr="004142C2">
        <w:rPr>
          <w:sz w:val="18"/>
          <w:szCs w:val="18"/>
        </w:rPr>
        <w:t>Note: For companies held for less than 12 months, the Annualised Return has been substituted with Total Return.</w:t>
      </w:r>
    </w:p>
    <w:p w14:paraId="62491623" w14:textId="442F2D9C" w:rsidR="005968B1" w:rsidRDefault="004142C2" w:rsidP="00DF5050">
      <w:pPr>
        <w:tabs>
          <w:tab w:val="left" w:pos="1014"/>
        </w:tabs>
        <w:jc w:val="both"/>
        <w:rPr>
          <w:sz w:val="18"/>
          <w:szCs w:val="18"/>
        </w:rPr>
      </w:pPr>
      <w:r w:rsidRPr="004142C2">
        <w:rPr>
          <w:sz w:val="18"/>
          <w:szCs w:val="18"/>
        </w:rPr>
        <w:t xml:space="preserve"> </w:t>
      </w:r>
      <w:r w:rsidR="00466420">
        <w:rPr>
          <w:noProof/>
        </w:rPr>
        <w:drawing>
          <wp:inline distT="0" distB="0" distL="0" distR="0" wp14:anchorId="464F161A" wp14:editId="562B09A9">
            <wp:extent cx="5731510" cy="2334260"/>
            <wp:effectExtent l="19050" t="19050" r="21590" b="27940"/>
            <wp:docPr id="1431209968" name="Picture 2" descr="A graph with red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209968" name="Picture 2" descr="A graph with red and green squar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334260"/>
                    </a:xfrm>
                    <a:prstGeom prst="rect">
                      <a:avLst/>
                    </a:prstGeom>
                    <a:noFill/>
                    <a:ln>
                      <a:solidFill>
                        <a:schemeClr val="tx1"/>
                      </a:solidFill>
                    </a:ln>
                  </pic:spPr>
                </pic:pic>
              </a:graphicData>
            </a:graphic>
          </wp:inline>
        </w:drawing>
      </w:r>
    </w:p>
    <w:bookmarkEnd w:id="0"/>
    <w:p w14:paraId="2B2BE0ED" w14:textId="1D71D2C7" w:rsidR="00807472" w:rsidRDefault="00466420" w:rsidP="00DF5050">
      <w:pPr>
        <w:tabs>
          <w:tab w:val="left" w:pos="1014"/>
        </w:tabs>
        <w:jc w:val="both"/>
        <w:rPr>
          <w:b/>
          <w:bCs/>
          <w:u w:val="single"/>
        </w:rPr>
      </w:pPr>
      <w:r>
        <w:rPr>
          <w:noProof/>
        </w:rPr>
        <w:lastRenderedPageBreak/>
        <w:drawing>
          <wp:inline distT="0" distB="0" distL="0" distR="0" wp14:anchorId="5F5A67BB" wp14:editId="204A1C43">
            <wp:extent cx="5731510" cy="2334260"/>
            <wp:effectExtent l="19050" t="19050" r="21590" b="27940"/>
            <wp:docPr id="726309560" name="Picture 3"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09560" name="Picture 3" descr="A graph of a graph&#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334260"/>
                    </a:xfrm>
                    <a:prstGeom prst="rect">
                      <a:avLst/>
                    </a:prstGeom>
                    <a:noFill/>
                    <a:ln>
                      <a:solidFill>
                        <a:schemeClr val="tx1"/>
                      </a:solidFill>
                    </a:ln>
                  </pic:spPr>
                </pic:pic>
              </a:graphicData>
            </a:graphic>
          </wp:inline>
        </w:drawing>
      </w:r>
    </w:p>
    <w:p w14:paraId="0B3A176F" w14:textId="480A6A38" w:rsidR="00314231" w:rsidRDefault="00466420" w:rsidP="00DF5050">
      <w:pPr>
        <w:tabs>
          <w:tab w:val="left" w:pos="1014"/>
        </w:tabs>
        <w:jc w:val="both"/>
      </w:pPr>
      <w:r>
        <w:rPr>
          <w:noProof/>
        </w:rPr>
        <w:drawing>
          <wp:inline distT="0" distB="0" distL="0" distR="0" wp14:anchorId="1FA7E539" wp14:editId="507E81E5">
            <wp:extent cx="5731510" cy="2451100"/>
            <wp:effectExtent l="19050" t="19050" r="21590" b="25400"/>
            <wp:docPr id="20142756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51100"/>
                    </a:xfrm>
                    <a:prstGeom prst="rect">
                      <a:avLst/>
                    </a:prstGeom>
                    <a:noFill/>
                    <a:ln>
                      <a:solidFill>
                        <a:schemeClr val="tx1"/>
                      </a:solidFill>
                    </a:ln>
                  </pic:spPr>
                </pic:pic>
              </a:graphicData>
            </a:graphic>
          </wp:inline>
        </w:drawing>
      </w:r>
    </w:p>
    <w:p w14:paraId="2C2AF898" w14:textId="5625A616" w:rsidR="00314231" w:rsidRDefault="00DC605B" w:rsidP="00DF5050">
      <w:pPr>
        <w:tabs>
          <w:tab w:val="left" w:pos="1014"/>
        </w:tabs>
        <w:jc w:val="both"/>
      </w:pPr>
      <w:r>
        <w:rPr>
          <w:noProof/>
        </w:rPr>
        <w:drawing>
          <wp:inline distT="0" distB="0" distL="0" distR="0" wp14:anchorId="350A4B3C" wp14:editId="7374C457">
            <wp:extent cx="5731510" cy="3016250"/>
            <wp:effectExtent l="19050" t="19050" r="21590" b="12700"/>
            <wp:docPr id="889579940" name="Picture 5" descr="A graph of a market va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79940" name="Picture 5" descr="A graph of a market valu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016250"/>
                    </a:xfrm>
                    <a:prstGeom prst="rect">
                      <a:avLst/>
                    </a:prstGeom>
                    <a:noFill/>
                    <a:ln>
                      <a:solidFill>
                        <a:schemeClr val="tx1"/>
                      </a:solidFill>
                    </a:ln>
                  </pic:spPr>
                </pic:pic>
              </a:graphicData>
            </a:graphic>
          </wp:inline>
        </w:drawing>
      </w:r>
    </w:p>
    <w:p w14:paraId="58B61413" w14:textId="0E27E077" w:rsidR="00314231" w:rsidRPr="00314231" w:rsidRDefault="00DC605B" w:rsidP="00DF5050">
      <w:pPr>
        <w:tabs>
          <w:tab w:val="left" w:pos="1014"/>
        </w:tabs>
        <w:jc w:val="both"/>
      </w:pPr>
      <w:r>
        <w:rPr>
          <w:noProof/>
        </w:rPr>
        <w:lastRenderedPageBreak/>
        <w:drawing>
          <wp:inline distT="0" distB="0" distL="0" distR="0" wp14:anchorId="00668A57" wp14:editId="6EE8C905">
            <wp:extent cx="5731510" cy="2451100"/>
            <wp:effectExtent l="19050" t="19050" r="21590" b="25400"/>
            <wp:docPr id="698256139" name="Picture 6" descr="A graph of a market weigh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256139" name="Picture 6" descr="A graph of a market weight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51100"/>
                    </a:xfrm>
                    <a:prstGeom prst="rect">
                      <a:avLst/>
                    </a:prstGeom>
                    <a:noFill/>
                    <a:ln>
                      <a:solidFill>
                        <a:schemeClr val="tx1"/>
                      </a:solidFill>
                    </a:ln>
                  </pic:spPr>
                </pic:pic>
              </a:graphicData>
            </a:graphic>
          </wp:inline>
        </w:drawing>
      </w:r>
    </w:p>
    <w:p w14:paraId="0DAD0F74" w14:textId="1D0B8ECB" w:rsidR="00314231" w:rsidRDefault="00314231" w:rsidP="00314231">
      <w:pPr>
        <w:tabs>
          <w:tab w:val="left" w:pos="1014"/>
        </w:tabs>
        <w:spacing w:after="0"/>
        <w:jc w:val="both"/>
      </w:pPr>
      <w:r>
        <w:t>Median Market Capitalisation:</w:t>
      </w:r>
      <w:r>
        <w:tab/>
      </w:r>
      <w:r>
        <w:tab/>
      </w:r>
      <w:r w:rsidR="00FF0287">
        <w:tab/>
        <w:t>1,0</w:t>
      </w:r>
      <w:r w:rsidR="00DC605B">
        <w:t>74</w:t>
      </w:r>
      <w:r w:rsidR="00345CF2">
        <w:t xml:space="preserve"> </w:t>
      </w:r>
      <w:r>
        <w:t>M</w:t>
      </w:r>
    </w:p>
    <w:p w14:paraId="168F3A8A" w14:textId="50A89855" w:rsidR="00314231" w:rsidRPr="00314231" w:rsidRDefault="00314231" w:rsidP="00314231">
      <w:pPr>
        <w:tabs>
          <w:tab w:val="left" w:pos="1014"/>
        </w:tabs>
        <w:jc w:val="both"/>
      </w:pPr>
      <w:r>
        <w:t>Weighted Average Market Capitalisation:</w:t>
      </w:r>
      <w:r>
        <w:tab/>
        <w:t>1</w:t>
      </w:r>
      <w:r w:rsidR="00637DE6">
        <w:t>,</w:t>
      </w:r>
      <w:r w:rsidR="00DC605B">
        <w:t>996</w:t>
      </w:r>
      <w:r>
        <w:t xml:space="preserve"> M</w:t>
      </w:r>
    </w:p>
    <w:p w14:paraId="38E35EAA" w14:textId="7A908D72" w:rsidR="001402BF" w:rsidRDefault="009F270D" w:rsidP="00DF5050">
      <w:pPr>
        <w:tabs>
          <w:tab w:val="left" w:pos="1014"/>
        </w:tabs>
        <w:jc w:val="both"/>
      </w:pPr>
      <w:r w:rsidRPr="009F270D">
        <w:rPr>
          <w:b/>
          <w:bCs/>
          <w:u w:val="single"/>
        </w:rPr>
        <w:t>Performance:</w:t>
      </w:r>
    </w:p>
    <w:p w14:paraId="0B5ECE98" w14:textId="2297681A" w:rsidR="009F270D" w:rsidRPr="00466420" w:rsidRDefault="00FF13FE" w:rsidP="00DF5050">
      <w:pPr>
        <w:tabs>
          <w:tab w:val="left" w:pos="1014"/>
        </w:tabs>
        <w:jc w:val="both"/>
      </w:pPr>
      <w:r w:rsidRPr="00466420">
        <w:t xml:space="preserve">For the </w:t>
      </w:r>
      <w:r w:rsidR="00265373" w:rsidRPr="00466420">
        <w:t>Quarter</w:t>
      </w:r>
      <w:r w:rsidR="002F383C" w:rsidRPr="00466420">
        <w:t xml:space="preserve"> </w:t>
      </w:r>
      <w:r w:rsidRPr="00466420">
        <w:t xml:space="preserve">ended </w:t>
      </w:r>
      <w:r w:rsidR="00671021" w:rsidRPr="00466420">
        <w:t>December</w:t>
      </w:r>
      <w:r w:rsidRPr="00466420">
        <w:t xml:space="preserve"> 20</w:t>
      </w:r>
      <w:r w:rsidR="004B0725" w:rsidRPr="00466420">
        <w:t>2</w:t>
      </w:r>
      <w:r w:rsidR="00265373" w:rsidRPr="00466420">
        <w:t>3</w:t>
      </w:r>
      <w:r w:rsidRPr="00466420">
        <w:t>, the</w:t>
      </w:r>
      <w:r w:rsidR="009F270D" w:rsidRPr="00466420">
        <w:t xml:space="preserve"> Growth With Value Investment Fund returned </w:t>
      </w:r>
      <w:r w:rsidR="00466420" w:rsidRPr="00466420">
        <w:t>10</w:t>
      </w:r>
      <w:r w:rsidR="00F54CEC" w:rsidRPr="00466420">
        <w:t>.0</w:t>
      </w:r>
      <w:r w:rsidR="009F270D" w:rsidRPr="00466420">
        <w:t xml:space="preserve">% versus </w:t>
      </w:r>
      <w:r w:rsidR="00466420" w:rsidRPr="00466420">
        <w:t>8</w:t>
      </w:r>
      <w:r w:rsidR="00265373" w:rsidRPr="00466420">
        <w:t>.4</w:t>
      </w:r>
      <w:r w:rsidR="009F270D" w:rsidRPr="00466420">
        <w:t xml:space="preserve">% for our </w:t>
      </w:r>
      <w:r w:rsidRPr="00466420">
        <w:t>B</w:t>
      </w:r>
      <w:r w:rsidR="009F270D" w:rsidRPr="00466420">
        <w:t>enchmark, the ASX 200 Accumulation Index (XJOA). This is an outperformance</w:t>
      </w:r>
      <w:r w:rsidR="002F383C" w:rsidRPr="00466420">
        <w:t xml:space="preserve"> </w:t>
      </w:r>
      <w:r w:rsidR="009F270D" w:rsidRPr="00466420">
        <w:t xml:space="preserve">of </w:t>
      </w:r>
      <w:r w:rsidR="00466420" w:rsidRPr="00466420">
        <w:t>1</w:t>
      </w:r>
      <w:r w:rsidR="00265373" w:rsidRPr="00466420">
        <w:t>.6</w:t>
      </w:r>
      <w:r w:rsidR="009F270D" w:rsidRPr="00466420">
        <w:t xml:space="preserve">%. At the end of this </w:t>
      </w:r>
      <w:r w:rsidR="00F54CEC" w:rsidRPr="00466420">
        <w:t>period,</w:t>
      </w:r>
      <w:r w:rsidR="009F270D" w:rsidRPr="00466420">
        <w:t xml:space="preserve"> we held </w:t>
      </w:r>
      <w:r w:rsidR="00671021" w:rsidRPr="00466420">
        <w:t>35.0</w:t>
      </w:r>
      <w:r w:rsidR="009F270D" w:rsidRPr="00466420">
        <w:t xml:space="preserve">% </w:t>
      </w:r>
      <w:r w:rsidR="001C37B8" w:rsidRPr="00466420">
        <w:t xml:space="preserve">in </w:t>
      </w:r>
      <w:r w:rsidR="009F270D" w:rsidRPr="00466420">
        <w:t>cash</w:t>
      </w:r>
      <w:r w:rsidRPr="00466420">
        <w:t xml:space="preserve"> and had</w:t>
      </w:r>
      <w:r w:rsidR="009F270D" w:rsidRPr="00466420">
        <w:t xml:space="preserve"> </w:t>
      </w:r>
      <w:r w:rsidR="00671021" w:rsidRPr="00466420">
        <w:t>six</w:t>
      </w:r>
      <w:r w:rsidR="009F270D" w:rsidRPr="00466420">
        <w:t xml:space="preserve"> open position</w:t>
      </w:r>
      <w:r w:rsidRPr="00466420">
        <w:t>s</w:t>
      </w:r>
      <w:r w:rsidR="00904054" w:rsidRPr="00466420">
        <w:t>.</w:t>
      </w:r>
      <w:r w:rsidR="009F270D" w:rsidRPr="00466420">
        <w:t xml:space="preserve"> </w:t>
      </w:r>
      <w:r w:rsidR="00904054" w:rsidRPr="00466420">
        <w:t>W</w:t>
      </w:r>
      <w:r w:rsidR="009F270D" w:rsidRPr="00466420">
        <w:t xml:space="preserve">e </w:t>
      </w:r>
      <w:r w:rsidR="00671021" w:rsidRPr="00466420">
        <w:t>made one</w:t>
      </w:r>
      <w:r w:rsidR="009F270D" w:rsidRPr="00466420">
        <w:t xml:space="preserve"> sale during the period</w:t>
      </w:r>
      <w:r w:rsidR="00671021" w:rsidRPr="00466420">
        <w:t>, InvoCare, which was acquired by TPG</w:t>
      </w:r>
      <w:r w:rsidR="009F270D" w:rsidRPr="00466420">
        <w:t>.</w:t>
      </w:r>
    </w:p>
    <w:p w14:paraId="1DE4C007" w14:textId="627AE503" w:rsidR="00FF13FE" w:rsidRPr="00466420" w:rsidRDefault="00FF13FE" w:rsidP="00DF5050">
      <w:pPr>
        <w:tabs>
          <w:tab w:val="left" w:pos="1014"/>
        </w:tabs>
        <w:jc w:val="both"/>
      </w:pPr>
      <w:bookmarkStart w:id="1" w:name="_Hlk50113916"/>
      <w:r w:rsidRPr="00466420">
        <w:t xml:space="preserve">Since its inception, the </w:t>
      </w:r>
      <w:r w:rsidR="007972F7" w:rsidRPr="00466420">
        <w:t>F</w:t>
      </w:r>
      <w:r w:rsidRPr="00466420">
        <w:t xml:space="preserve">und has provided an annualised return of </w:t>
      </w:r>
      <w:r w:rsidR="00671021" w:rsidRPr="00466420">
        <w:t>20.6</w:t>
      </w:r>
      <w:r w:rsidRPr="00466420">
        <w:t>%</w:t>
      </w:r>
      <w:r w:rsidR="007972F7" w:rsidRPr="00466420">
        <w:t xml:space="preserve">, resulting in a total return of </w:t>
      </w:r>
      <w:r w:rsidR="009C1C9E" w:rsidRPr="00466420">
        <w:t>1</w:t>
      </w:r>
      <w:r w:rsidR="00671021" w:rsidRPr="00466420">
        <w:t>8</w:t>
      </w:r>
      <w:r w:rsidR="009C1C9E" w:rsidRPr="00466420">
        <w:t>9.1</w:t>
      </w:r>
      <w:r w:rsidR="007972F7" w:rsidRPr="00466420">
        <w:t>%. O</w:t>
      </w:r>
      <w:r w:rsidRPr="00466420">
        <w:t>ur Benchmark</w:t>
      </w:r>
      <w:r w:rsidR="007972F7" w:rsidRPr="00466420">
        <w:t xml:space="preserve"> ha</w:t>
      </w:r>
      <w:r w:rsidR="004B0725" w:rsidRPr="00466420">
        <w:t>s</w:t>
      </w:r>
      <w:r w:rsidR="007972F7" w:rsidRPr="00466420">
        <w:t xml:space="preserve"> an annualised</w:t>
      </w:r>
      <w:r w:rsidRPr="00466420">
        <w:t xml:space="preserve"> returned </w:t>
      </w:r>
      <w:r w:rsidR="007972F7" w:rsidRPr="00466420">
        <w:t xml:space="preserve">of </w:t>
      </w:r>
      <w:r w:rsidR="00671021" w:rsidRPr="00466420">
        <w:t>8.5</w:t>
      </w:r>
      <w:r w:rsidRPr="00466420">
        <w:t>%</w:t>
      </w:r>
      <w:r w:rsidR="007972F7" w:rsidRPr="00466420">
        <w:t xml:space="preserve">, resulting in a total return of </w:t>
      </w:r>
      <w:r w:rsidR="00671021" w:rsidRPr="00466420">
        <w:t>58.7</w:t>
      </w:r>
      <w:r w:rsidR="007972F7" w:rsidRPr="00466420">
        <w:t>%</w:t>
      </w:r>
      <w:r w:rsidRPr="00466420">
        <w:t xml:space="preserve"> </w:t>
      </w:r>
      <w:r w:rsidR="007972F7" w:rsidRPr="00466420">
        <w:t>o</w:t>
      </w:r>
      <w:r w:rsidRPr="00466420">
        <w:t xml:space="preserve">ver the same period. </w:t>
      </w:r>
    </w:p>
    <w:bookmarkEnd w:id="1"/>
    <w:p w14:paraId="6BDCE9EF" w14:textId="515BDD70" w:rsidR="009F270D" w:rsidRDefault="009F270D" w:rsidP="00DF5050">
      <w:pPr>
        <w:tabs>
          <w:tab w:val="left" w:pos="1014"/>
        </w:tabs>
        <w:jc w:val="both"/>
        <w:rPr>
          <w:b/>
          <w:bCs/>
          <w:u w:val="single"/>
        </w:rPr>
      </w:pPr>
      <w:r>
        <w:rPr>
          <w:b/>
          <w:bCs/>
          <w:u w:val="single"/>
        </w:rPr>
        <w:t>Portfolio Activity:</w:t>
      </w:r>
    </w:p>
    <w:p w14:paraId="6044CDBA" w14:textId="73A9B73D" w:rsidR="00CB0260" w:rsidRDefault="00C10A33" w:rsidP="00DF5050">
      <w:pPr>
        <w:tabs>
          <w:tab w:val="left" w:pos="1014"/>
        </w:tabs>
        <w:jc w:val="both"/>
      </w:pPr>
      <w:r w:rsidRPr="00C10A33">
        <w:t>During the quarter</w:t>
      </w:r>
      <w:r>
        <w:t>, TPG completed its acquisition of InvoCare</w:t>
      </w:r>
      <w:r w:rsidR="008B3F2F">
        <w:t xml:space="preserve">. InvoCare was </w:t>
      </w:r>
      <w:r w:rsidR="00FB7942">
        <w:t>our</w:t>
      </w:r>
      <w:r w:rsidR="008B3F2F">
        <w:t xml:space="preserve"> first </w:t>
      </w:r>
      <w:r w:rsidR="00FB7942">
        <w:t>investment</w:t>
      </w:r>
      <w:r w:rsidR="008B3F2F">
        <w:t xml:space="preserve"> </w:t>
      </w:r>
      <w:r w:rsidR="00FB7942">
        <w:t>and remained</w:t>
      </w:r>
      <w:r w:rsidR="008B3F2F">
        <w:t xml:space="preserve"> in our portfolio for five and a half years. </w:t>
      </w:r>
      <w:r w:rsidR="00FB7942" w:rsidRPr="00FB7942">
        <w:t>Throughout this period, the investment yielded a return of 6.87% per annum. However, it is noteworthy that this performance trailed behind our benchmark, the ASX 200 Accumulation Index, which posted a return of 7.26% per annum. While the investment generated positive returns, I view it as underperforming, given the benchmark's superior performance.</w:t>
      </w:r>
      <w:r w:rsidR="008B3F2F">
        <w:t xml:space="preserve"> </w:t>
      </w:r>
    </w:p>
    <w:p w14:paraId="44194714" w14:textId="593F7499" w:rsidR="008B3F2F" w:rsidRPr="00C10A33" w:rsidRDefault="00FB7942" w:rsidP="00FB7942">
      <w:pPr>
        <w:tabs>
          <w:tab w:val="left" w:pos="1014"/>
        </w:tabs>
        <w:jc w:val="both"/>
      </w:pPr>
      <w:r>
        <w:t>It is worth mentioning that our cash allocation stands at a substantial 35%.</w:t>
      </w:r>
      <w:r>
        <w:t xml:space="preserve"> However, t</w:t>
      </w:r>
      <w:r>
        <w:t xml:space="preserve">his sizable cash position has not hindered our overall returns. </w:t>
      </w:r>
      <w:r>
        <w:t>We</w:t>
      </w:r>
      <w:r>
        <w:t xml:space="preserve"> managed to outperform our benchmark by 1.6% for the quarter and by </w:t>
      </w:r>
      <w:r>
        <w:t xml:space="preserve">almost </w:t>
      </w:r>
      <w:r>
        <w:t>10% for the financial year to date. Despite concerns about holding significant cash reserves, I am reassured by the flexibility it provides in the event of a market correction. I am optimistic about deploying a portion of our cash reserves in the coming 12 months.</w:t>
      </w:r>
    </w:p>
    <w:sectPr w:rsidR="008B3F2F" w:rsidRPr="00C10A33" w:rsidSect="00DC1DFF">
      <w:headerReference w:type="default" r:id="rId12"/>
      <w:pgSz w:w="11906" w:h="16838"/>
      <w:pgMar w:top="1440" w:right="1440" w:bottom="1440" w:left="1440" w:header="708" w:footer="708"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4EFE" w14:textId="77777777" w:rsidR="00DC1DFF" w:rsidRDefault="00DC1DFF" w:rsidP="0029299F">
      <w:pPr>
        <w:spacing w:after="0" w:line="240" w:lineRule="auto"/>
      </w:pPr>
      <w:r>
        <w:separator/>
      </w:r>
    </w:p>
  </w:endnote>
  <w:endnote w:type="continuationSeparator" w:id="0">
    <w:p w14:paraId="1D6CFB56" w14:textId="77777777" w:rsidR="00DC1DFF" w:rsidRDefault="00DC1DFF" w:rsidP="0029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F542" w14:textId="77777777" w:rsidR="00DC1DFF" w:rsidRDefault="00DC1DFF" w:rsidP="0029299F">
      <w:pPr>
        <w:spacing w:after="0" w:line="240" w:lineRule="auto"/>
      </w:pPr>
      <w:r>
        <w:separator/>
      </w:r>
    </w:p>
  </w:footnote>
  <w:footnote w:type="continuationSeparator" w:id="0">
    <w:p w14:paraId="6D16A9F2" w14:textId="77777777" w:rsidR="00DC1DFF" w:rsidRDefault="00DC1DFF" w:rsidP="0029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02"/>
      <w:gridCol w:w="2122"/>
      <w:gridCol w:w="3492"/>
    </w:tblGrid>
    <w:tr w:rsidR="008F149F" w14:paraId="3B9C3C6D" w14:textId="77777777" w:rsidTr="00856C2C">
      <w:tc>
        <w:tcPr>
          <w:tcW w:w="3402" w:type="dxa"/>
          <w:tcBorders>
            <w:top w:val="nil"/>
            <w:left w:val="nil"/>
            <w:bottom w:val="nil"/>
            <w:right w:val="nil"/>
          </w:tcBorders>
        </w:tcPr>
        <w:p w14:paraId="38C7CD44" w14:textId="20CD498E" w:rsidR="008F149F" w:rsidRPr="00856C2C" w:rsidRDefault="008F149F" w:rsidP="00856C2C">
          <w:pPr>
            <w:pStyle w:val="Header"/>
            <w:spacing w:before="240"/>
            <w:rPr>
              <w:rFonts w:ascii="Arial" w:hAnsi="Arial" w:cs="Arial"/>
              <w:b/>
              <w:bCs/>
              <w:color w:val="538135" w:themeColor="accent6" w:themeShade="BF"/>
            </w:rPr>
          </w:pPr>
          <w:r>
            <w:rPr>
              <w:noProof/>
            </w:rPr>
            <w:drawing>
              <wp:anchor distT="0" distB="0" distL="114300" distR="114300" simplePos="0" relativeHeight="251659264" behindDoc="1" locked="0" layoutInCell="1" allowOverlap="1" wp14:anchorId="11AAB67E" wp14:editId="03403D15">
                <wp:simplePos x="0" y="0"/>
                <wp:positionH relativeFrom="margin">
                  <wp:posOffset>-68580</wp:posOffset>
                </wp:positionH>
                <wp:positionV relativeFrom="paragraph">
                  <wp:posOffset>3175</wp:posOffset>
                </wp:positionV>
                <wp:extent cx="757555" cy="659765"/>
                <wp:effectExtent l="0" t="0" r="4445" b="6985"/>
                <wp:wrapTight wrapText="bothSides">
                  <wp:wrapPolygon edited="0">
                    <wp:start x="6518" y="0"/>
                    <wp:lineTo x="3802" y="1871"/>
                    <wp:lineTo x="0" y="8108"/>
                    <wp:lineTo x="0" y="17463"/>
                    <wp:lineTo x="2173" y="20581"/>
                    <wp:lineTo x="7604" y="21205"/>
                    <wp:lineTo x="10863" y="21205"/>
                    <wp:lineTo x="21184" y="18087"/>
                    <wp:lineTo x="20640" y="8108"/>
                    <wp:lineTo x="14122" y="1247"/>
                    <wp:lineTo x="10863" y="0"/>
                    <wp:lineTo x="6518"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55" cy="659765"/>
                        </a:xfrm>
                        <a:prstGeom prst="rect">
                          <a:avLst/>
                        </a:prstGeom>
                      </pic:spPr>
                    </pic:pic>
                  </a:graphicData>
                </a:graphic>
                <wp14:sizeRelH relativeFrom="margin">
                  <wp14:pctWidth>0</wp14:pctWidth>
                </wp14:sizeRelH>
                <wp14:sizeRelV relativeFrom="margin">
                  <wp14:pctHeight>0</wp14:pctHeight>
                </wp14:sizeRelV>
              </wp:anchor>
            </w:drawing>
          </w:r>
          <w:r w:rsidRPr="00856C2C">
            <w:rPr>
              <w:rFonts w:ascii="Arial" w:hAnsi="Arial" w:cs="Arial"/>
              <w:b/>
              <w:bCs/>
              <w:color w:val="538135" w:themeColor="accent6" w:themeShade="BF"/>
            </w:rPr>
            <w:t>Growth With Value</w:t>
          </w:r>
        </w:p>
        <w:p w14:paraId="5816A441" w14:textId="2477864F" w:rsidR="008F149F" w:rsidRPr="00856C2C" w:rsidRDefault="008F149F">
          <w:pPr>
            <w:pStyle w:val="Header"/>
            <w:rPr>
              <w:sz w:val="18"/>
              <w:szCs w:val="18"/>
            </w:rPr>
          </w:pPr>
          <w:r w:rsidRPr="00856C2C">
            <w:rPr>
              <w:color w:val="C00000"/>
              <w:sz w:val="18"/>
              <w:szCs w:val="18"/>
            </w:rPr>
            <w:t>Your investment can make the difference</w:t>
          </w:r>
        </w:p>
      </w:tc>
      <w:tc>
        <w:tcPr>
          <w:tcW w:w="2122" w:type="dxa"/>
          <w:tcBorders>
            <w:top w:val="nil"/>
            <w:left w:val="nil"/>
            <w:bottom w:val="nil"/>
            <w:right w:val="nil"/>
          </w:tcBorders>
        </w:tcPr>
        <w:p w14:paraId="77A83DBB" w14:textId="77777777" w:rsidR="008F149F" w:rsidRDefault="008F149F">
          <w:pPr>
            <w:pStyle w:val="Header"/>
          </w:pPr>
        </w:p>
      </w:tc>
      <w:tc>
        <w:tcPr>
          <w:tcW w:w="3492" w:type="dxa"/>
          <w:tcBorders>
            <w:top w:val="nil"/>
            <w:left w:val="nil"/>
            <w:bottom w:val="nil"/>
            <w:right w:val="nil"/>
          </w:tcBorders>
        </w:tcPr>
        <w:p w14:paraId="0C553343" w14:textId="3F408EDD" w:rsidR="008F149F" w:rsidRPr="0029299F" w:rsidRDefault="008F149F" w:rsidP="00856C2C">
          <w:pPr>
            <w:spacing w:before="240"/>
            <w:rPr>
              <w:sz w:val="16"/>
              <w:szCs w:val="16"/>
            </w:rPr>
          </w:pPr>
          <w:r>
            <w:rPr>
              <w:sz w:val="16"/>
              <w:szCs w:val="16"/>
            </w:rPr>
            <w:t>Email:</w:t>
          </w:r>
          <w:r>
            <w:rPr>
              <w:sz w:val="16"/>
              <w:szCs w:val="16"/>
            </w:rPr>
            <w:tab/>
          </w:r>
          <w:hyperlink r:id="rId2" w:history="1">
            <w:r w:rsidRPr="00FD483D">
              <w:rPr>
                <w:rStyle w:val="Hyperlink"/>
                <w:sz w:val="16"/>
                <w:szCs w:val="16"/>
              </w:rPr>
              <w:t>alistair.cowley@growthwithvalue.com</w:t>
            </w:r>
          </w:hyperlink>
          <w:r>
            <w:rPr>
              <w:sz w:val="16"/>
              <w:szCs w:val="16"/>
            </w:rPr>
            <w:t xml:space="preserve"> </w:t>
          </w:r>
          <w:r>
            <w:rPr>
              <w:sz w:val="16"/>
              <w:szCs w:val="16"/>
            </w:rPr>
            <w:br/>
            <w:t>Address:</w:t>
          </w:r>
          <w:r>
            <w:rPr>
              <w:sz w:val="16"/>
              <w:szCs w:val="16"/>
            </w:rPr>
            <w:tab/>
            <w:t>PO Box 1078 Nairne, SA 5252</w:t>
          </w:r>
          <w:r>
            <w:rPr>
              <w:sz w:val="16"/>
              <w:szCs w:val="16"/>
            </w:rPr>
            <w:br/>
            <w:t>Mobile:</w:t>
          </w:r>
          <w:r>
            <w:rPr>
              <w:sz w:val="16"/>
              <w:szCs w:val="16"/>
            </w:rPr>
            <w:tab/>
            <w:t>0417 836 202</w:t>
          </w:r>
        </w:p>
      </w:tc>
    </w:tr>
  </w:tbl>
  <w:p w14:paraId="4FB482FE" w14:textId="39DF76DA" w:rsidR="008F149F" w:rsidRDefault="008F149F" w:rsidP="00856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9F"/>
    <w:rsid w:val="00035E52"/>
    <w:rsid w:val="00054FD1"/>
    <w:rsid w:val="0006071D"/>
    <w:rsid w:val="000675B7"/>
    <w:rsid w:val="00082EF6"/>
    <w:rsid w:val="000C6684"/>
    <w:rsid w:val="000F4DB9"/>
    <w:rsid w:val="0010771C"/>
    <w:rsid w:val="001265C1"/>
    <w:rsid w:val="001402BF"/>
    <w:rsid w:val="00172AD3"/>
    <w:rsid w:val="001A2A00"/>
    <w:rsid w:val="001A6C5E"/>
    <w:rsid w:val="001A6E5D"/>
    <w:rsid w:val="001C37B8"/>
    <w:rsid w:val="001D4C0F"/>
    <w:rsid w:val="001D6EFF"/>
    <w:rsid w:val="001E5F69"/>
    <w:rsid w:val="001E64A4"/>
    <w:rsid w:val="00204822"/>
    <w:rsid w:val="00217A41"/>
    <w:rsid w:val="00244CA9"/>
    <w:rsid w:val="00260439"/>
    <w:rsid w:val="00265373"/>
    <w:rsid w:val="00270371"/>
    <w:rsid w:val="0029299F"/>
    <w:rsid w:val="002E7035"/>
    <w:rsid w:val="002F383C"/>
    <w:rsid w:val="002F73EB"/>
    <w:rsid w:val="00303BC7"/>
    <w:rsid w:val="00313479"/>
    <w:rsid w:val="00314231"/>
    <w:rsid w:val="00314610"/>
    <w:rsid w:val="003235E4"/>
    <w:rsid w:val="0033415F"/>
    <w:rsid w:val="00345CF2"/>
    <w:rsid w:val="003539E6"/>
    <w:rsid w:val="003615F6"/>
    <w:rsid w:val="00362AAA"/>
    <w:rsid w:val="00365724"/>
    <w:rsid w:val="0038098E"/>
    <w:rsid w:val="003A6097"/>
    <w:rsid w:val="003E2CC7"/>
    <w:rsid w:val="0040615F"/>
    <w:rsid w:val="004142C2"/>
    <w:rsid w:val="00417013"/>
    <w:rsid w:val="00424D6B"/>
    <w:rsid w:val="00433508"/>
    <w:rsid w:val="004373E8"/>
    <w:rsid w:val="0045145F"/>
    <w:rsid w:val="00455D75"/>
    <w:rsid w:val="00466420"/>
    <w:rsid w:val="00467631"/>
    <w:rsid w:val="00470081"/>
    <w:rsid w:val="00487921"/>
    <w:rsid w:val="004A54D1"/>
    <w:rsid w:val="004B0725"/>
    <w:rsid w:val="004D412E"/>
    <w:rsid w:val="00520C36"/>
    <w:rsid w:val="00540E19"/>
    <w:rsid w:val="00563E71"/>
    <w:rsid w:val="00585C76"/>
    <w:rsid w:val="00595453"/>
    <w:rsid w:val="005968B1"/>
    <w:rsid w:val="00597549"/>
    <w:rsid w:val="005A2F01"/>
    <w:rsid w:val="005B1393"/>
    <w:rsid w:val="005C2955"/>
    <w:rsid w:val="005C3189"/>
    <w:rsid w:val="005D4F36"/>
    <w:rsid w:val="005F09BC"/>
    <w:rsid w:val="0061424D"/>
    <w:rsid w:val="00621F25"/>
    <w:rsid w:val="00637DE6"/>
    <w:rsid w:val="006439F8"/>
    <w:rsid w:val="00651C4D"/>
    <w:rsid w:val="00671021"/>
    <w:rsid w:val="006948DE"/>
    <w:rsid w:val="006A3857"/>
    <w:rsid w:val="006F1424"/>
    <w:rsid w:val="0071079C"/>
    <w:rsid w:val="007547D0"/>
    <w:rsid w:val="0078363D"/>
    <w:rsid w:val="007972F7"/>
    <w:rsid w:val="007A1A9C"/>
    <w:rsid w:val="007C0B66"/>
    <w:rsid w:val="007D628C"/>
    <w:rsid w:val="007D6A02"/>
    <w:rsid w:val="007D7F1F"/>
    <w:rsid w:val="007F6CD0"/>
    <w:rsid w:val="00807472"/>
    <w:rsid w:val="008160F6"/>
    <w:rsid w:val="00816D99"/>
    <w:rsid w:val="00856C2C"/>
    <w:rsid w:val="00867B89"/>
    <w:rsid w:val="0087770B"/>
    <w:rsid w:val="008B3F2F"/>
    <w:rsid w:val="008C7D9F"/>
    <w:rsid w:val="008D4CA2"/>
    <w:rsid w:val="008E5647"/>
    <w:rsid w:val="008F149F"/>
    <w:rsid w:val="008F3D58"/>
    <w:rsid w:val="008F51E6"/>
    <w:rsid w:val="00904054"/>
    <w:rsid w:val="0093168B"/>
    <w:rsid w:val="0097774B"/>
    <w:rsid w:val="009B08E1"/>
    <w:rsid w:val="009C1C9E"/>
    <w:rsid w:val="009D1FAB"/>
    <w:rsid w:val="009D4830"/>
    <w:rsid w:val="009D5BC3"/>
    <w:rsid w:val="009F270D"/>
    <w:rsid w:val="00A02D11"/>
    <w:rsid w:val="00A07AA6"/>
    <w:rsid w:val="00A57A19"/>
    <w:rsid w:val="00A86855"/>
    <w:rsid w:val="00A87565"/>
    <w:rsid w:val="00A9496B"/>
    <w:rsid w:val="00AA084C"/>
    <w:rsid w:val="00AC38BA"/>
    <w:rsid w:val="00AD7595"/>
    <w:rsid w:val="00B039F9"/>
    <w:rsid w:val="00B235A3"/>
    <w:rsid w:val="00B25884"/>
    <w:rsid w:val="00B36CB4"/>
    <w:rsid w:val="00B376CF"/>
    <w:rsid w:val="00B6036E"/>
    <w:rsid w:val="00B81040"/>
    <w:rsid w:val="00B9538C"/>
    <w:rsid w:val="00BA7DC7"/>
    <w:rsid w:val="00BC2845"/>
    <w:rsid w:val="00BC52E3"/>
    <w:rsid w:val="00BC6A56"/>
    <w:rsid w:val="00BD0179"/>
    <w:rsid w:val="00C10A33"/>
    <w:rsid w:val="00C12136"/>
    <w:rsid w:val="00C220EF"/>
    <w:rsid w:val="00C54A9A"/>
    <w:rsid w:val="00C70CFE"/>
    <w:rsid w:val="00C8598B"/>
    <w:rsid w:val="00C8620E"/>
    <w:rsid w:val="00CB0260"/>
    <w:rsid w:val="00CC494C"/>
    <w:rsid w:val="00CC755C"/>
    <w:rsid w:val="00CE0C10"/>
    <w:rsid w:val="00D061BE"/>
    <w:rsid w:val="00D12FC9"/>
    <w:rsid w:val="00D26721"/>
    <w:rsid w:val="00D30BFB"/>
    <w:rsid w:val="00D312E2"/>
    <w:rsid w:val="00DA74F6"/>
    <w:rsid w:val="00DA755C"/>
    <w:rsid w:val="00DC1DFF"/>
    <w:rsid w:val="00DC605B"/>
    <w:rsid w:val="00DF5050"/>
    <w:rsid w:val="00E31580"/>
    <w:rsid w:val="00E3449C"/>
    <w:rsid w:val="00E505BD"/>
    <w:rsid w:val="00E5423B"/>
    <w:rsid w:val="00EB5DED"/>
    <w:rsid w:val="00ED461C"/>
    <w:rsid w:val="00EE02C7"/>
    <w:rsid w:val="00EF6681"/>
    <w:rsid w:val="00F15925"/>
    <w:rsid w:val="00F24F6A"/>
    <w:rsid w:val="00F27F20"/>
    <w:rsid w:val="00F363A1"/>
    <w:rsid w:val="00F50D03"/>
    <w:rsid w:val="00F54CEC"/>
    <w:rsid w:val="00F56362"/>
    <w:rsid w:val="00F7173D"/>
    <w:rsid w:val="00F84823"/>
    <w:rsid w:val="00FB4AFD"/>
    <w:rsid w:val="00FB7942"/>
    <w:rsid w:val="00FC44FC"/>
    <w:rsid w:val="00FC5D42"/>
    <w:rsid w:val="00FD65C1"/>
    <w:rsid w:val="00FF0287"/>
    <w:rsid w:val="00FF13FE"/>
    <w:rsid w:val="00FF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5B27"/>
  <w15:chartTrackingRefBased/>
  <w15:docId w15:val="{EFA197B8-A8C0-46EC-B7F7-D02245C3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9F"/>
  </w:style>
  <w:style w:type="paragraph" w:styleId="Footer">
    <w:name w:val="footer"/>
    <w:basedOn w:val="Normal"/>
    <w:link w:val="FooterChar"/>
    <w:uiPriority w:val="99"/>
    <w:unhideWhenUsed/>
    <w:rsid w:val="00292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9F"/>
  </w:style>
  <w:style w:type="table" w:styleId="TableGrid">
    <w:name w:val="Table Grid"/>
    <w:basedOn w:val="TableNormal"/>
    <w:uiPriority w:val="39"/>
    <w:rsid w:val="0029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299F"/>
    <w:rPr>
      <w:rFonts w:ascii="Times New Roman" w:hAnsi="Times New Roman" w:cs="Times New Roman"/>
      <w:sz w:val="24"/>
      <w:szCs w:val="24"/>
    </w:rPr>
  </w:style>
  <w:style w:type="character" w:styleId="Hyperlink">
    <w:name w:val="Hyperlink"/>
    <w:basedOn w:val="DefaultParagraphFont"/>
    <w:uiPriority w:val="99"/>
    <w:unhideWhenUsed/>
    <w:rsid w:val="0029299F"/>
    <w:rPr>
      <w:color w:val="0563C1" w:themeColor="hyperlink"/>
      <w:u w:val="single"/>
    </w:rPr>
  </w:style>
  <w:style w:type="character" w:styleId="UnresolvedMention">
    <w:name w:val="Unresolved Mention"/>
    <w:basedOn w:val="DefaultParagraphFont"/>
    <w:uiPriority w:val="99"/>
    <w:semiHidden/>
    <w:unhideWhenUsed/>
    <w:rsid w:val="0029299F"/>
    <w:rPr>
      <w:color w:val="605E5C"/>
      <w:shd w:val="clear" w:color="auto" w:fill="E1DFDD"/>
    </w:rPr>
  </w:style>
  <w:style w:type="table" w:styleId="GridTable5Dark-Accent6">
    <w:name w:val="Grid Table 5 Dark Accent 6"/>
    <w:basedOn w:val="TableNormal"/>
    <w:uiPriority w:val="50"/>
    <w:rsid w:val="00B603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3809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8098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3809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6279">
      <w:bodyDiv w:val="1"/>
      <w:marLeft w:val="0"/>
      <w:marRight w:val="0"/>
      <w:marTop w:val="0"/>
      <w:marBottom w:val="0"/>
      <w:divBdr>
        <w:top w:val="none" w:sz="0" w:space="0" w:color="auto"/>
        <w:left w:val="none" w:sz="0" w:space="0" w:color="auto"/>
        <w:bottom w:val="none" w:sz="0" w:space="0" w:color="auto"/>
        <w:right w:val="none" w:sz="0" w:space="0" w:color="auto"/>
      </w:divBdr>
    </w:div>
    <w:div w:id="1227882938">
      <w:bodyDiv w:val="1"/>
      <w:marLeft w:val="0"/>
      <w:marRight w:val="0"/>
      <w:marTop w:val="0"/>
      <w:marBottom w:val="0"/>
      <w:divBdr>
        <w:top w:val="none" w:sz="0" w:space="0" w:color="auto"/>
        <w:left w:val="none" w:sz="0" w:space="0" w:color="auto"/>
        <w:bottom w:val="none" w:sz="0" w:space="0" w:color="auto"/>
        <w:right w:val="none" w:sz="0" w:space="0" w:color="auto"/>
      </w:divBdr>
    </w:div>
    <w:div w:id="18894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listair.cowley@growthwithvalue.com"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Alistair</dc:creator>
  <cp:keywords/>
  <dc:description/>
  <cp:lastModifiedBy>Alistair Cowley</cp:lastModifiedBy>
  <cp:revision>4</cp:revision>
  <cp:lastPrinted>2020-09-04T00:57:00Z</cp:lastPrinted>
  <dcterms:created xsi:type="dcterms:W3CDTF">2024-01-03T08:47:00Z</dcterms:created>
  <dcterms:modified xsi:type="dcterms:W3CDTF">2024-01-12T00:54:00Z</dcterms:modified>
</cp:coreProperties>
</file>